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3419" w14:textId="77777777" w:rsidR="00223468" w:rsidRPr="00223468" w:rsidRDefault="00223468" w:rsidP="006011ED">
      <w:pPr>
        <w:keepNext/>
        <w:widowControl w:val="0"/>
        <w:suppressAutoHyphens/>
        <w:rPr>
          <w:b/>
          <w:bCs/>
          <w:szCs w:val="26"/>
        </w:rPr>
      </w:pPr>
      <w:r>
        <w:rPr>
          <w:rFonts w:asciiTheme="minorHAnsi" w:eastAsiaTheme="minorHAnsi" w:hAnsiTheme="minorHAnsi" w:cstheme="minorBidi"/>
          <w:noProof/>
          <w:sz w:val="20"/>
          <w:szCs w:val="20"/>
        </w:rPr>
        <w:drawing>
          <wp:anchor distT="0" distB="0" distL="114300" distR="114300" simplePos="0" relativeHeight="251659264" behindDoc="1" locked="0" layoutInCell="1" allowOverlap="1" wp14:anchorId="7F99D13E" wp14:editId="4AFD406B">
            <wp:simplePos x="0" y="0"/>
            <wp:positionH relativeFrom="column">
              <wp:posOffset>24130</wp:posOffset>
            </wp:positionH>
            <wp:positionV relativeFrom="paragraph">
              <wp:posOffset>-149860</wp:posOffset>
            </wp:positionV>
            <wp:extent cx="476250" cy="838200"/>
            <wp:effectExtent l="19050" t="0" r="0" b="0"/>
            <wp:wrapNone/>
            <wp:docPr id="3" name="Image 1" descr="Description : logo_co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cob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838200"/>
                    </a:xfrm>
                    <a:prstGeom prst="rect">
                      <a:avLst/>
                    </a:prstGeom>
                    <a:noFill/>
                    <a:ln>
                      <a:noFill/>
                    </a:ln>
                  </pic:spPr>
                </pic:pic>
              </a:graphicData>
            </a:graphic>
          </wp:anchor>
        </w:drawing>
      </w:r>
      <w:r w:rsidRPr="00223468">
        <w:rPr>
          <w:rFonts w:ascii="CG Times" w:hAnsi="CG Times"/>
          <w:b/>
          <w:bCs/>
          <w:szCs w:val="26"/>
        </w:rPr>
        <w:tab/>
      </w:r>
      <w:r w:rsidR="006408DD">
        <w:rPr>
          <w:rFonts w:ascii="CG Times" w:hAnsi="CG Times"/>
          <w:b/>
          <w:bCs/>
          <w:szCs w:val="26"/>
        </w:rPr>
        <w:t xml:space="preserve">     </w:t>
      </w:r>
      <w:r w:rsidRPr="00223468">
        <w:rPr>
          <w:b/>
          <w:bCs/>
          <w:szCs w:val="26"/>
        </w:rPr>
        <w:t xml:space="preserve">COMMISSION BANCAIRE </w:t>
      </w:r>
      <w:r w:rsidRPr="00223468">
        <w:rPr>
          <w:b/>
          <w:bCs/>
          <w:szCs w:val="26"/>
        </w:rPr>
        <w:tab/>
      </w:r>
      <w:r w:rsidRPr="00223468">
        <w:rPr>
          <w:b/>
          <w:bCs/>
          <w:szCs w:val="26"/>
        </w:rPr>
        <w:tab/>
      </w:r>
      <w:r w:rsidRPr="00223468">
        <w:rPr>
          <w:b/>
          <w:bCs/>
          <w:szCs w:val="26"/>
        </w:rPr>
        <w:tab/>
      </w:r>
    </w:p>
    <w:p w14:paraId="77B59EB6" w14:textId="77777777" w:rsidR="00C32A39" w:rsidRDefault="006408DD" w:rsidP="006011ED">
      <w:pPr>
        <w:keepNext/>
        <w:widowControl w:val="0"/>
        <w:suppressAutoHyphens/>
        <w:ind w:firstLine="708"/>
        <w:rPr>
          <w:b/>
          <w:bCs/>
          <w:szCs w:val="26"/>
        </w:rPr>
      </w:pPr>
      <w:r>
        <w:rPr>
          <w:b/>
          <w:bCs/>
          <w:szCs w:val="26"/>
        </w:rPr>
        <w:t xml:space="preserve">                         </w:t>
      </w:r>
      <w:r w:rsidR="00C32A39">
        <w:rPr>
          <w:b/>
          <w:bCs/>
          <w:szCs w:val="26"/>
        </w:rPr>
        <w:t>DE</w:t>
      </w:r>
    </w:p>
    <w:p w14:paraId="0D96A115" w14:textId="206663DF" w:rsidR="00223468" w:rsidRDefault="006408DD" w:rsidP="006011ED">
      <w:pPr>
        <w:pStyle w:val="Titre1"/>
        <w:widowControl w:val="0"/>
        <w:numPr>
          <w:ilvl w:val="0"/>
          <w:numId w:val="0"/>
        </w:numPr>
        <w:suppressAutoHyphens/>
      </w:pPr>
      <w:r>
        <w:t xml:space="preserve">               </w:t>
      </w:r>
      <w:r w:rsidR="00123195">
        <w:t xml:space="preserve"> </w:t>
      </w:r>
      <w:r w:rsidR="00223468" w:rsidRPr="00223468">
        <w:t>L’AFRIQUE CENTRALE</w:t>
      </w:r>
    </w:p>
    <w:p w14:paraId="66AE6AEF" w14:textId="77777777" w:rsidR="00930D3F" w:rsidRPr="00930D3F" w:rsidRDefault="00930D3F" w:rsidP="006011ED">
      <w:pPr>
        <w:keepNext/>
        <w:widowControl w:val="0"/>
        <w:suppressAutoHyphens/>
        <w:rPr>
          <w:b/>
          <w:sz w:val="16"/>
        </w:rPr>
      </w:pPr>
      <w:r w:rsidRPr="00930D3F">
        <w:rPr>
          <w:sz w:val="16"/>
        </w:rPr>
        <w:tab/>
      </w:r>
      <w:r w:rsidRPr="00930D3F">
        <w:rPr>
          <w:sz w:val="16"/>
        </w:rPr>
        <w:tab/>
      </w:r>
      <w:r w:rsidRPr="00930D3F">
        <w:rPr>
          <w:b/>
          <w:sz w:val="16"/>
        </w:rPr>
        <w:t>_________________</w:t>
      </w:r>
      <w:r>
        <w:rPr>
          <w:b/>
          <w:sz w:val="16"/>
        </w:rPr>
        <w:t>________</w:t>
      </w:r>
    </w:p>
    <w:p w14:paraId="4C493787" w14:textId="77777777" w:rsidR="00930D3F" w:rsidRPr="00930D3F" w:rsidRDefault="00930D3F" w:rsidP="006011ED">
      <w:pPr>
        <w:keepNext/>
        <w:widowControl w:val="0"/>
        <w:suppressAutoHyphens/>
        <w:spacing w:before="120" w:after="120"/>
        <w:rPr>
          <w:b/>
        </w:rPr>
      </w:pPr>
      <w:r w:rsidRPr="00930D3F">
        <w:rPr>
          <w:b/>
        </w:rPr>
        <w:tab/>
        <w:t xml:space="preserve">            Secrétariat Général</w:t>
      </w:r>
    </w:p>
    <w:p w14:paraId="2FE414AE" w14:textId="77777777" w:rsidR="00E42DAA" w:rsidRDefault="00223468" w:rsidP="006011ED">
      <w:pPr>
        <w:keepNext/>
        <w:widowControl w:val="0"/>
        <w:suppressAutoHyphens/>
        <w:ind w:firstLine="708"/>
        <w:rPr>
          <w:b/>
          <w:bCs/>
          <w:szCs w:val="26"/>
        </w:rPr>
      </w:pPr>
      <w:r w:rsidRPr="00223468">
        <w:rPr>
          <w:b/>
          <w:bCs/>
          <w:szCs w:val="26"/>
        </w:rPr>
        <w:tab/>
      </w:r>
    </w:p>
    <w:p w14:paraId="5BFA1A7F" w14:textId="77777777" w:rsidR="00C83A76" w:rsidRDefault="00C83A76" w:rsidP="006011ED">
      <w:pPr>
        <w:keepNext/>
        <w:widowControl w:val="0"/>
        <w:suppressAutoHyphens/>
        <w:ind w:firstLine="708"/>
        <w:rPr>
          <w:b/>
          <w:bCs/>
          <w:szCs w:val="26"/>
        </w:rPr>
      </w:pPr>
    </w:p>
    <w:p w14:paraId="24D75853" w14:textId="77777777" w:rsidR="00F64FE3" w:rsidRPr="009804F3" w:rsidRDefault="00F64FE3" w:rsidP="006011ED">
      <w:pPr>
        <w:keepNext/>
        <w:widowControl w:val="0"/>
        <w:suppressAutoHyphens/>
        <w:ind w:firstLine="708"/>
        <w:rPr>
          <w:b/>
          <w:bCs/>
          <w:color w:val="984806" w:themeColor="accent6" w:themeShade="80"/>
          <w:szCs w:val="26"/>
        </w:rPr>
      </w:pPr>
    </w:p>
    <w:p w14:paraId="169AC41C" w14:textId="06FE1F51" w:rsidR="00AF129A" w:rsidRPr="00017876" w:rsidRDefault="00AF129A" w:rsidP="00AF129A">
      <w:pPr>
        <w:pStyle w:val="Titre1"/>
        <w:keepNext w:val="0"/>
        <w:keepLines/>
        <w:widowControl w:val="0"/>
        <w:numPr>
          <w:ilvl w:val="0"/>
          <w:numId w:val="0"/>
        </w:numPr>
        <w:jc w:val="center"/>
        <w:rPr>
          <w:smallCaps/>
          <w:color w:val="000080"/>
          <w:sz w:val="36"/>
          <w:szCs w:val="36"/>
        </w:rPr>
      </w:pPr>
      <w:r w:rsidRPr="00017876">
        <w:rPr>
          <w:smallCaps/>
          <w:color w:val="000080"/>
          <w:sz w:val="36"/>
          <w:szCs w:val="36"/>
        </w:rPr>
        <w:t>SÉMINAIRE DE DIFFUSION DU NOUVEAU DISPOSITIF R</w:t>
      </w:r>
      <w:r>
        <w:rPr>
          <w:smallCaps/>
          <w:color w:val="000080"/>
          <w:sz w:val="36"/>
          <w:szCs w:val="36"/>
        </w:rPr>
        <w:t xml:space="preserve">ÉGLEMENTAIRE </w:t>
      </w:r>
      <w:r w:rsidRPr="00017876">
        <w:rPr>
          <w:smallCaps/>
          <w:color w:val="000080"/>
          <w:sz w:val="36"/>
          <w:szCs w:val="36"/>
        </w:rPr>
        <w:t>RELATIF AUX CONDITIONS D</w:t>
      </w:r>
      <w:r>
        <w:rPr>
          <w:smallCaps/>
          <w:color w:val="000080"/>
          <w:sz w:val="36"/>
          <w:szCs w:val="36"/>
        </w:rPr>
        <w:t>’</w:t>
      </w:r>
      <w:r w:rsidRPr="00017876">
        <w:rPr>
          <w:smallCaps/>
          <w:color w:val="000080"/>
          <w:sz w:val="36"/>
          <w:szCs w:val="36"/>
        </w:rPr>
        <w:t>EXERCICE ET DE CONTR</w:t>
      </w:r>
      <w:r>
        <w:rPr>
          <w:smallCaps/>
          <w:color w:val="000080"/>
          <w:sz w:val="36"/>
          <w:szCs w:val="36"/>
        </w:rPr>
        <w:t>Ô</w:t>
      </w:r>
      <w:r w:rsidRPr="00017876">
        <w:rPr>
          <w:smallCaps/>
          <w:color w:val="000080"/>
          <w:sz w:val="36"/>
          <w:szCs w:val="36"/>
        </w:rPr>
        <w:t>LE DE L</w:t>
      </w:r>
      <w:r w:rsidR="00D1309B">
        <w:rPr>
          <w:smallCaps/>
          <w:color w:val="000080"/>
          <w:sz w:val="36"/>
          <w:szCs w:val="36"/>
        </w:rPr>
        <w:t>’</w:t>
      </w:r>
      <w:r w:rsidRPr="00017876">
        <w:rPr>
          <w:smallCaps/>
          <w:color w:val="000080"/>
          <w:sz w:val="36"/>
          <w:szCs w:val="36"/>
        </w:rPr>
        <w:t>ACTIVITE DE MICROFINANCE DANS LA CEMAC</w:t>
      </w:r>
    </w:p>
    <w:p w14:paraId="4A6224F6" w14:textId="77777777" w:rsidR="00AF129A" w:rsidRDefault="00AF129A" w:rsidP="00AF129A">
      <w:pPr>
        <w:keepLines/>
        <w:widowControl w:val="0"/>
        <w:spacing w:line="360" w:lineRule="auto"/>
        <w:jc w:val="center"/>
        <w:rPr>
          <w:rFonts w:ascii="Monotype Corsiva" w:eastAsiaTheme="minorHAnsi" w:hAnsi="Monotype Corsiva"/>
          <w:b/>
          <w:sz w:val="28"/>
          <w:szCs w:val="28"/>
          <w:lang w:eastAsia="en-US"/>
        </w:rPr>
      </w:pPr>
    </w:p>
    <w:p w14:paraId="3230D373" w14:textId="32870685" w:rsidR="00AF129A" w:rsidRDefault="00AF129A" w:rsidP="00AF129A">
      <w:pPr>
        <w:keepLines/>
        <w:widowControl w:val="0"/>
        <w:spacing w:line="360" w:lineRule="auto"/>
        <w:jc w:val="center"/>
        <w:rPr>
          <w:rFonts w:ascii="Monotype Corsiva" w:eastAsiaTheme="minorHAnsi" w:hAnsi="Monotype Corsiva"/>
          <w:b/>
          <w:sz w:val="28"/>
          <w:szCs w:val="28"/>
          <w:lang w:eastAsia="en-US"/>
        </w:rPr>
      </w:pPr>
      <w:r w:rsidRPr="00017876">
        <w:rPr>
          <w:rFonts w:ascii="Monotype Corsiva" w:eastAsiaTheme="minorHAnsi" w:hAnsi="Monotype Corsiva"/>
          <w:b/>
          <w:sz w:val="28"/>
          <w:szCs w:val="28"/>
          <w:lang w:eastAsia="en-US"/>
        </w:rPr>
        <w:t>Yaoundé, le 26 juin 2018</w:t>
      </w:r>
    </w:p>
    <w:p w14:paraId="0111E1DB" w14:textId="26123141" w:rsidR="00AF129A" w:rsidRDefault="00AF129A" w:rsidP="00AF129A">
      <w:pPr>
        <w:rPr>
          <w:rFonts w:ascii="Monotype Corsiva" w:eastAsiaTheme="minorHAnsi" w:hAnsi="Monotype Corsiva"/>
          <w:sz w:val="28"/>
          <w:szCs w:val="28"/>
          <w:lang w:eastAsia="en-US"/>
        </w:rPr>
      </w:pPr>
    </w:p>
    <w:p w14:paraId="144C380E" w14:textId="04132333" w:rsidR="00F64FE3" w:rsidRDefault="00AF129A" w:rsidP="00AF129A">
      <w:pPr>
        <w:tabs>
          <w:tab w:val="left" w:pos="3990"/>
        </w:tabs>
        <w:rPr>
          <w:b/>
          <w:i/>
          <w:sz w:val="26"/>
          <w:szCs w:val="26"/>
        </w:rPr>
      </w:pPr>
      <w:r>
        <w:rPr>
          <w:rFonts w:ascii="Monotype Corsiva" w:eastAsiaTheme="minorHAnsi" w:hAnsi="Monotype Corsiva"/>
          <w:sz w:val="28"/>
          <w:szCs w:val="28"/>
          <w:lang w:eastAsia="en-US"/>
        </w:rPr>
        <w:tab/>
      </w:r>
    </w:p>
    <w:p w14:paraId="4B0F3BDD" w14:textId="77777777" w:rsidR="00CD1140" w:rsidRDefault="007537A2" w:rsidP="006011ED">
      <w:pPr>
        <w:keepNext/>
        <w:widowControl w:val="0"/>
        <w:suppressAutoHyphens/>
        <w:spacing w:after="120" w:line="276" w:lineRule="auto"/>
        <w:jc w:val="center"/>
        <w:rPr>
          <w:b/>
          <w:bCs/>
          <w:sz w:val="28"/>
          <w:szCs w:val="28"/>
        </w:rPr>
      </w:pPr>
      <w:r>
        <w:rPr>
          <w:b/>
          <w:bCs/>
          <w:noProof/>
          <w:sz w:val="28"/>
          <w:szCs w:val="28"/>
        </w:rPr>
        <w:pict w14:anchorId="709D1D50">
          <v:shapetype id="_x0000_t202" coordsize="21600,21600" o:spt="202" path="m,l,21600r21600,l21600,xe">
            <v:stroke joinstyle="miter"/>
            <v:path gradientshapeok="t" o:connecttype="rect"/>
          </v:shapetype>
          <v:shape id="_x0000_s1026" type="#_x0000_t202" style="position:absolute;left:0;text-align:left;margin-left:-15.05pt;margin-top:12.5pt;width:515.15pt;height:72.7pt;z-index:251660288" fillcolor="#eaeaea" strokeweight="3pt">
            <v:stroke linestyle="thinThin"/>
            <o:extrusion v:ext="view" on="t"/>
            <v:textbox>
              <w:txbxContent>
                <w:p w14:paraId="31986723" w14:textId="58B8B0B0" w:rsidR="00C66CA4" w:rsidRPr="008D7AC0" w:rsidRDefault="001B600E" w:rsidP="00DB06E5">
                  <w:pPr>
                    <w:spacing w:after="120" w:line="276" w:lineRule="auto"/>
                    <w:jc w:val="center"/>
                    <w:rPr>
                      <w:b/>
                      <w:bCs/>
                      <w:sz w:val="36"/>
                      <w:szCs w:val="36"/>
                    </w:rPr>
                  </w:pPr>
                  <w:r>
                    <w:rPr>
                      <w:b/>
                      <w:bCs/>
                      <w:sz w:val="36"/>
                      <w:szCs w:val="36"/>
                    </w:rPr>
                    <w:t>TRAITEMENT DES CREANCES DES ETABLISSEMENTS DE MICROFINANCE</w:t>
                  </w:r>
                </w:p>
              </w:txbxContent>
            </v:textbox>
            <w10:wrap anchorx="page"/>
          </v:shape>
        </w:pict>
      </w:r>
    </w:p>
    <w:p w14:paraId="227871C4" w14:textId="77777777" w:rsidR="00CD1140" w:rsidRDefault="00CD1140" w:rsidP="006011ED">
      <w:pPr>
        <w:keepNext/>
        <w:widowControl w:val="0"/>
        <w:suppressAutoHyphens/>
        <w:spacing w:after="120" w:line="276" w:lineRule="auto"/>
        <w:jc w:val="center"/>
        <w:rPr>
          <w:b/>
          <w:bCs/>
          <w:sz w:val="28"/>
          <w:szCs w:val="28"/>
        </w:rPr>
      </w:pPr>
    </w:p>
    <w:p w14:paraId="01B135F0" w14:textId="77777777" w:rsidR="00F64FE3" w:rsidRDefault="00F64FE3" w:rsidP="006011ED">
      <w:pPr>
        <w:keepNext/>
        <w:widowControl w:val="0"/>
        <w:suppressAutoHyphens/>
        <w:spacing w:after="120" w:line="276" w:lineRule="auto"/>
        <w:jc w:val="center"/>
        <w:rPr>
          <w:b/>
          <w:bCs/>
          <w:sz w:val="28"/>
          <w:szCs w:val="28"/>
        </w:rPr>
      </w:pPr>
    </w:p>
    <w:p w14:paraId="066EE17A" w14:textId="77777777" w:rsidR="00CD1140" w:rsidRDefault="00CD1140" w:rsidP="006011ED">
      <w:pPr>
        <w:keepNext/>
        <w:widowControl w:val="0"/>
        <w:suppressAutoHyphens/>
        <w:spacing w:after="120" w:line="276" w:lineRule="auto"/>
        <w:jc w:val="center"/>
        <w:rPr>
          <w:b/>
          <w:bCs/>
          <w:sz w:val="28"/>
          <w:szCs w:val="28"/>
        </w:rPr>
      </w:pPr>
    </w:p>
    <w:p w14:paraId="66CCBC05" w14:textId="77777777" w:rsidR="00F64FE3" w:rsidRDefault="00F64FE3" w:rsidP="006011ED">
      <w:pPr>
        <w:keepNext/>
        <w:widowControl w:val="0"/>
        <w:suppressAutoHyphens/>
        <w:spacing w:after="200" w:line="360" w:lineRule="auto"/>
        <w:rPr>
          <w:b/>
          <w:sz w:val="26"/>
          <w:szCs w:val="26"/>
        </w:rPr>
      </w:pPr>
    </w:p>
    <w:p w14:paraId="5755ED36" w14:textId="77777777" w:rsidR="00553CFC" w:rsidRPr="00E34982" w:rsidRDefault="00553CFC" w:rsidP="006011ED">
      <w:pPr>
        <w:keepNext/>
        <w:widowControl w:val="0"/>
        <w:suppressAutoHyphens/>
      </w:pPr>
    </w:p>
    <w:p w14:paraId="474044C1" w14:textId="77777777" w:rsidR="001B600E" w:rsidRDefault="00AF129A" w:rsidP="001B600E">
      <w:pPr>
        <w:keepLines/>
        <w:widowControl w:val="0"/>
        <w:spacing w:line="360" w:lineRule="auto"/>
        <w:jc w:val="center"/>
        <w:outlineLvl w:val="1"/>
        <w:rPr>
          <w:b/>
          <w:sz w:val="36"/>
          <w:szCs w:val="36"/>
        </w:rPr>
      </w:pPr>
      <w:r w:rsidRPr="00AF129A">
        <w:rPr>
          <w:b/>
          <w:sz w:val="36"/>
          <w:szCs w:val="36"/>
        </w:rPr>
        <w:t xml:space="preserve">Par </w:t>
      </w:r>
      <w:r>
        <w:rPr>
          <w:b/>
          <w:sz w:val="36"/>
          <w:szCs w:val="36"/>
        </w:rPr>
        <w:t xml:space="preserve">Monsieur </w:t>
      </w:r>
      <w:r w:rsidR="001B600E" w:rsidRPr="001B600E">
        <w:rPr>
          <w:b/>
          <w:sz w:val="36"/>
          <w:szCs w:val="36"/>
        </w:rPr>
        <w:t>Rollin OMBANG EKATH</w:t>
      </w:r>
    </w:p>
    <w:p w14:paraId="405F3D2F" w14:textId="720C3DB6" w:rsidR="001B600E" w:rsidRPr="001B600E" w:rsidRDefault="001B600E" w:rsidP="001B600E">
      <w:pPr>
        <w:keepLines/>
        <w:widowControl w:val="0"/>
        <w:jc w:val="center"/>
        <w:rPr>
          <w:b/>
          <w:bCs/>
          <w:i/>
          <w:iCs/>
        </w:rPr>
      </w:pPr>
      <w:r w:rsidRPr="001B600E">
        <w:rPr>
          <w:b/>
          <w:bCs/>
          <w:i/>
          <w:iCs/>
        </w:rPr>
        <w:t>Directeur Général de</w:t>
      </w:r>
      <w:r w:rsidRPr="001B600E">
        <w:rPr>
          <w:b/>
          <w:bCs/>
          <w:i/>
          <w:iCs/>
        </w:rPr>
        <w:t xml:space="preserve"> </w:t>
      </w:r>
      <w:r w:rsidRPr="001B600E">
        <w:rPr>
          <w:b/>
          <w:bCs/>
          <w:i/>
          <w:iCs/>
        </w:rPr>
        <w:t>La Régionale Cameroun</w:t>
      </w:r>
    </w:p>
    <w:p w14:paraId="2315AAA1" w14:textId="77777777" w:rsidR="00847D00" w:rsidRDefault="00847D00" w:rsidP="00AF129A">
      <w:pPr>
        <w:keepNext/>
        <w:widowControl w:val="0"/>
        <w:suppressAutoHyphens/>
        <w:spacing w:after="120" w:line="360" w:lineRule="auto"/>
        <w:ind w:firstLine="567"/>
        <w:rPr>
          <w:b/>
          <w:snapToGrid w:val="0"/>
          <w:sz w:val="26"/>
          <w:szCs w:val="26"/>
          <w:u w:val="single"/>
        </w:rPr>
      </w:pPr>
    </w:p>
    <w:p w14:paraId="7A8D9857" w14:textId="77777777" w:rsidR="00AF129A" w:rsidRDefault="00AF129A">
      <w:pPr>
        <w:spacing w:after="200" w:line="276" w:lineRule="auto"/>
        <w:rPr>
          <w:b/>
          <w:snapToGrid w:val="0"/>
          <w:sz w:val="26"/>
          <w:szCs w:val="26"/>
          <w:u w:val="single"/>
        </w:rPr>
      </w:pPr>
      <w:r>
        <w:rPr>
          <w:b/>
          <w:snapToGrid w:val="0"/>
          <w:sz w:val="26"/>
          <w:szCs w:val="26"/>
          <w:u w:val="single"/>
        </w:rPr>
        <w:br w:type="page"/>
      </w:r>
    </w:p>
    <w:p w14:paraId="048673D3" w14:textId="77777777"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p>
    <w:p w14:paraId="204EE954" w14:textId="77777777" w:rsidR="001B600E" w:rsidRPr="005677E7" w:rsidRDefault="001B600E" w:rsidP="001B600E">
      <w:pPr>
        <w:jc w:val="center"/>
        <w:rPr>
          <w:rFonts w:ascii="Verdana" w:hAnsi="Verdana"/>
          <w:b/>
          <w:sz w:val="44"/>
          <w:szCs w:val="44"/>
        </w:rPr>
      </w:pPr>
      <w:r w:rsidRPr="005677E7">
        <w:rPr>
          <w:rFonts w:ascii="Verdana" w:hAnsi="Verdana"/>
          <w:b/>
          <w:sz w:val="44"/>
          <w:szCs w:val="44"/>
        </w:rPr>
        <w:t>SOMMAIRE</w:t>
      </w:r>
    </w:p>
    <w:p w14:paraId="0E5A0699" w14:textId="77777777" w:rsidR="001B600E" w:rsidRDefault="001B600E" w:rsidP="001B600E">
      <w:pPr>
        <w:jc w:val="both"/>
        <w:rPr>
          <w:rFonts w:ascii="Verdana" w:hAnsi="Verdana"/>
          <w:b/>
        </w:rPr>
      </w:pPr>
    </w:p>
    <w:p w14:paraId="2EBBCF36" w14:textId="77777777" w:rsidR="001B600E" w:rsidRDefault="001B600E" w:rsidP="001B600E">
      <w:pPr>
        <w:ind w:left="567"/>
        <w:jc w:val="both"/>
        <w:rPr>
          <w:rFonts w:ascii="Verdana" w:hAnsi="Verdana"/>
          <w:b/>
          <w:sz w:val="36"/>
          <w:szCs w:val="36"/>
        </w:rPr>
      </w:pPr>
      <w:r w:rsidRPr="005677E7">
        <w:rPr>
          <w:rFonts w:ascii="Verdana" w:hAnsi="Verdana"/>
          <w:b/>
          <w:sz w:val="36"/>
          <w:szCs w:val="36"/>
        </w:rPr>
        <w:t>INTRODUCTION</w:t>
      </w:r>
    </w:p>
    <w:p w14:paraId="7447B3EE" w14:textId="77777777" w:rsidR="001B600E" w:rsidRDefault="001B600E" w:rsidP="001B600E">
      <w:pPr>
        <w:ind w:left="567"/>
        <w:jc w:val="both"/>
        <w:rPr>
          <w:rFonts w:ascii="Verdana" w:hAnsi="Verdana"/>
          <w:b/>
          <w:sz w:val="36"/>
          <w:szCs w:val="36"/>
        </w:rPr>
      </w:pPr>
    </w:p>
    <w:p w14:paraId="760903DC" w14:textId="77777777" w:rsidR="001B600E" w:rsidRDefault="001B600E" w:rsidP="001B600E">
      <w:pPr>
        <w:ind w:left="567"/>
        <w:jc w:val="both"/>
        <w:rPr>
          <w:rFonts w:ascii="Verdana" w:hAnsi="Verdana"/>
          <w:b/>
          <w:sz w:val="36"/>
          <w:szCs w:val="36"/>
        </w:rPr>
      </w:pPr>
      <w:r>
        <w:rPr>
          <w:rFonts w:ascii="Verdana" w:hAnsi="Verdana"/>
          <w:b/>
          <w:sz w:val="36"/>
          <w:szCs w:val="36"/>
        </w:rPr>
        <w:t>I</w:t>
      </w:r>
      <w:r>
        <w:rPr>
          <w:rFonts w:ascii="Verdana" w:hAnsi="Verdana"/>
          <w:b/>
          <w:sz w:val="36"/>
          <w:szCs w:val="36"/>
        </w:rPr>
        <w:tab/>
        <w:t>TRAITEMENT DES CREANCES CONFORMEMENT AU REGLEMENT COBAC EMF R-2017/07 RELATIF A LA CLASSIFICATION A LA COMPTABILISATION ET AU PROVISIONNEMENT DES CREANCES DES ETABLISSEMENTS DE MICROFINANCE</w:t>
      </w:r>
      <w:r>
        <w:rPr>
          <w:rFonts w:ascii="Verdana" w:hAnsi="Verdana"/>
          <w:b/>
          <w:sz w:val="36"/>
          <w:szCs w:val="36"/>
        </w:rPr>
        <w:tab/>
      </w:r>
    </w:p>
    <w:p w14:paraId="52E6066F" w14:textId="77777777" w:rsidR="001B600E" w:rsidRDefault="001B600E" w:rsidP="001B600E">
      <w:pPr>
        <w:ind w:left="567"/>
        <w:jc w:val="both"/>
        <w:rPr>
          <w:rFonts w:ascii="Verdana" w:hAnsi="Verdana"/>
          <w:b/>
          <w:sz w:val="36"/>
          <w:szCs w:val="36"/>
        </w:rPr>
      </w:pPr>
    </w:p>
    <w:p w14:paraId="5D919F5F" w14:textId="77777777" w:rsidR="001B600E" w:rsidRDefault="001B600E" w:rsidP="001B600E">
      <w:pPr>
        <w:ind w:left="567"/>
        <w:jc w:val="both"/>
        <w:rPr>
          <w:rFonts w:ascii="Verdana" w:hAnsi="Verdana"/>
          <w:b/>
          <w:sz w:val="36"/>
          <w:szCs w:val="36"/>
        </w:rPr>
      </w:pPr>
      <w:r>
        <w:rPr>
          <w:rFonts w:ascii="Verdana" w:hAnsi="Verdana"/>
          <w:b/>
          <w:sz w:val="36"/>
          <w:szCs w:val="36"/>
        </w:rPr>
        <w:t>II</w:t>
      </w:r>
      <w:r>
        <w:rPr>
          <w:rFonts w:ascii="Verdana" w:hAnsi="Verdana"/>
          <w:b/>
          <w:sz w:val="36"/>
          <w:szCs w:val="36"/>
        </w:rPr>
        <w:tab/>
        <w:t>TRAITEMENT DES CREANCES CONFORMEMENT AU REGLEMENT COBAC EMF R-2017/08 PORTANT PLAFONNEMENT DU MONTANT DE CREDIT ACCORDE PAR LES ETABLISSEMENTS DE MICROFINANCE</w:t>
      </w:r>
    </w:p>
    <w:p w14:paraId="7DCEAF0A" w14:textId="77777777" w:rsidR="001B600E" w:rsidRDefault="001B600E" w:rsidP="001B600E">
      <w:pPr>
        <w:ind w:left="567"/>
        <w:jc w:val="both"/>
        <w:rPr>
          <w:rFonts w:ascii="Verdana" w:hAnsi="Verdana"/>
          <w:b/>
          <w:sz w:val="36"/>
          <w:szCs w:val="36"/>
        </w:rPr>
      </w:pPr>
    </w:p>
    <w:p w14:paraId="369BF18E" w14:textId="77777777" w:rsidR="001B600E" w:rsidRPr="005677E7" w:rsidRDefault="001B600E" w:rsidP="001B600E">
      <w:pPr>
        <w:ind w:left="567"/>
        <w:jc w:val="both"/>
        <w:rPr>
          <w:rFonts w:ascii="Verdana" w:hAnsi="Verdana"/>
          <w:b/>
          <w:sz w:val="36"/>
          <w:szCs w:val="36"/>
        </w:rPr>
      </w:pPr>
      <w:r>
        <w:rPr>
          <w:rFonts w:ascii="Verdana" w:hAnsi="Verdana"/>
          <w:b/>
          <w:sz w:val="36"/>
          <w:szCs w:val="36"/>
        </w:rPr>
        <w:t>CONCLUSION</w:t>
      </w:r>
    </w:p>
    <w:p w14:paraId="178E9999" w14:textId="77777777" w:rsidR="001B600E" w:rsidRDefault="001B600E" w:rsidP="001B600E">
      <w:pPr>
        <w:pStyle w:val="Paragraphedeliste"/>
        <w:jc w:val="both"/>
        <w:rPr>
          <w:rFonts w:ascii="Verdana" w:hAnsi="Verdana"/>
        </w:rPr>
      </w:pPr>
      <w:r>
        <w:rPr>
          <w:rFonts w:ascii="Verdana" w:hAnsi="Verdana"/>
        </w:rPr>
        <w:tab/>
      </w:r>
      <w:r>
        <w:rPr>
          <w:rFonts w:ascii="Verdana" w:hAnsi="Verdana"/>
        </w:rPr>
        <w:tab/>
      </w:r>
    </w:p>
    <w:p w14:paraId="54A74139" w14:textId="77777777" w:rsidR="001B600E" w:rsidRPr="008668AA" w:rsidRDefault="001B600E" w:rsidP="001B600E">
      <w:pPr>
        <w:pStyle w:val="Paragraphedeliste"/>
        <w:jc w:val="both"/>
        <w:rPr>
          <w:rFonts w:ascii="Verdana" w:hAnsi="Verdana"/>
        </w:rPr>
      </w:pPr>
    </w:p>
    <w:p w14:paraId="7C8E4BE7" w14:textId="77777777" w:rsidR="001B600E" w:rsidRDefault="001B600E">
      <w:pPr>
        <w:spacing w:after="200" w:line="276" w:lineRule="auto"/>
        <w:rPr>
          <w:rFonts w:ascii="Verdana" w:hAnsi="Verdana"/>
          <w:b/>
          <w:sz w:val="36"/>
          <w:szCs w:val="36"/>
        </w:rPr>
      </w:pPr>
      <w:r>
        <w:rPr>
          <w:rFonts w:ascii="Verdana" w:hAnsi="Verdana"/>
          <w:b/>
          <w:sz w:val="36"/>
          <w:szCs w:val="36"/>
        </w:rPr>
        <w:br w:type="page"/>
      </w:r>
    </w:p>
    <w:p w14:paraId="2F7DFBDA" w14:textId="327CE5F2" w:rsidR="001B600E" w:rsidRPr="008668AA" w:rsidRDefault="001B600E" w:rsidP="001B600E">
      <w:pPr>
        <w:jc w:val="both"/>
        <w:rPr>
          <w:rFonts w:ascii="Verdana" w:hAnsi="Verdana"/>
          <w:b/>
          <w:sz w:val="36"/>
          <w:szCs w:val="36"/>
        </w:rPr>
      </w:pPr>
      <w:r w:rsidRPr="008668AA">
        <w:rPr>
          <w:rFonts w:ascii="Verdana" w:hAnsi="Verdana"/>
          <w:b/>
          <w:sz w:val="36"/>
          <w:szCs w:val="36"/>
        </w:rPr>
        <w:lastRenderedPageBreak/>
        <w:t>INTRODUCTION</w:t>
      </w:r>
    </w:p>
    <w:p w14:paraId="4E0BB71E" w14:textId="77777777" w:rsidR="001B600E" w:rsidRDefault="001B600E" w:rsidP="001B600E">
      <w:pPr>
        <w:jc w:val="both"/>
        <w:rPr>
          <w:rFonts w:ascii="Arial Black" w:hAnsi="Arial Black"/>
          <w:sz w:val="28"/>
          <w:szCs w:val="28"/>
        </w:rPr>
      </w:pPr>
    </w:p>
    <w:p w14:paraId="0F33B35D" w14:textId="6437DC4F" w:rsidR="001B600E" w:rsidRDefault="001B600E" w:rsidP="001B600E">
      <w:pPr>
        <w:jc w:val="both"/>
        <w:rPr>
          <w:rFonts w:ascii="Arial Black" w:hAnsi="Arial Black"/>
          <w:sz w:val="28"/>
          <w:szCs w:val="28"/>
        </w:rPr>
      </w:pPr>
      <w:r>
        <w:rPr>
          <w:rFonts w:ascii="Arial Black" w:hAnsi="Arial Black"/>
          <w:sz w:val="28"/>
          <w:szCs w:val="28"/>
        </w:rPr>
        <w:t>Le secteur de la microfinance connait depuis quelques années de nombreuses et diverses mutations. Pour s'y adapter, les autorités de régulation viennent de mettre sur pied</w:t>
      </w:r>
      <w:r>
        <w:rPr>
          <w:rFonts w:ascii="Arial Black" w:hAnsi="Arial Black"/>
          <w:sz w:val="28"/>
          <w:szCs w:val="28"/>
        </w:rPr>
        <w:t xml:space="preserve"> un nouveau cadre règlementaire</w:t>
      </w:r>
      <w:r>
        <w:rPr>
          <w:rFonts w:ascii="Arial Black" w:hAnsi="Arial Black"/>
          <w:sz w:val="28"/>
          <w:szCs w:val="28"/>
        </w:rPr>
        <w:t xml:space="preserve"> ayant comme par le passé un règlement CEMAC et des textes d’application appelés règlement COBAC.</w:t>
      </w:r>
    </w:p>
    <w:p w14:paraId="1752F2C3" w14:textId="77777777" w:rsidR="001B600E" w:rsidRDefault="001B600E" w:rsidP="001B600E">
      <w:pPr>
        <w:jc w:val="both"/>
        <w:rPr>
          <w:rFonts w:ascii="Arial Black" w:hAnsi="Arial Black"/>
          <w:sz w:val="28"/>
          <w:szCs w:val="28"/>
        </w:rPr>
      </w:pPr>
    </w:p>
    <w:p w14:paraId="4D74B01B" w14:textId="77777777" w:rsidR="001B600E" w:rsidRDefault="001B600E" w:rsidP="001B600E">
      <w:pPr>
        <w:jc w:val="both"/>
        <w:rPr>
          <w:rFonts w:ascii="Arial Black" w:hAnsi="Arial Black"/>
          <w:sz w:val="28"/>
          <w:szCs w:val="28"/>
        </w:rPr>
      </w:pPr>
      <w:r>
        <w:rPr>
          <w:rFonts w:ascii="Arial Black" w:hAnsi="Arial Black"/>
          <w:sz w:val="28"/>
          <w:szCs w:val="28"/>
        </w:rPr>
        <w:t>Parmi ces textes d’application, deux retiennent particulièrement notre attention en matière de traitement des créances objet de notre exposé de ce jour. Il s’agit de :</w:t>
      </w:r>
    </w:p>
    <w:p w14:paraId="027E1342" w14:textId="77777777" w:rsidR="001B600E" w:rsidRPr="008668AA" w:rsidRDefault="001B600E" w:rsidP="001B600E">
      <w:pPr>
        <w:jc w:val="both"/>
        <w:rPr>
          <w:rFonts w:ascii="Arial Black" w:hAnsi="Arial Black"/>
          <w:sz w:val="28"/>
          <w:szCs w:val="28"/>
        </w:rPr>
      </w:pPr>
    </w:p>
    <w:p w14:paraId="1094D3ED" w14:textId="5A402790" w:rsidR="001B600E" w:rsidRPr="00771F57" w:rsidRDefault="001B600E" w:rsidP="001B600E">
      <w:pPr>
        <w:pStyle w:val="Paragraphedeliste"/>
        <w:numPr>
          <w:ilvl w:val="0"/>
          <w:numId w:val="20"/>
        </w:numPr>
        <w:spacing w:after="200" w:line="276" w:lineRule="auto"/>
        <w:ind w:left="567" w:hanging="283"/>
        <w:jc w:val="both"/>
        <w:rPr>
          <w:rFonts w:ascii="Arial Black" w:hAnsi="Arial Black"/>
          <w:sz w:val="28"/>
          <w:szCs w:val="28"/>
        </w:rPr>
      </w:pPr>
      <w:r>
        <w:rPr>
          <w:rFonts w:ascii="Arial Black" w:hAnsi="Arial Black"/>
          <w:sz w:val="28"/>
          <w:szCs w:val="28"/>
        </w:rPr>
        <w:t xml:space="preserve">le règlement COBAC </w:t>
      </w:r>
      <w:r w:rsidRPr="00771F57">
        <w:rPr>
          <w:rFonts w:ascii="Arial Black" w:hAnsi="Arial Black"/>
          <w:sz w:val="28"/>
          <w:szCs w:val="28"/>
        </w:rPr>
        <w:t>EMF R</w:t>
      </w:r>
      <w:r>
        <w:rPr>
          <w:rFonts w:ascii="Arial Black" w:hAnsi="Arial Black"/>
          <w:sz w:val="28"/>
          <w:szCs w:val="28"/>
        </w:rPr>
        <w:t>-</w:t>
      </w:r>
      <w:r w:rsidRPr="00771F57">
        <w:rPr>
          <w:rFonts w:ascii="Arial Black" w:hAnsi="Arial Black"/>
          <w:sz w:val="28"/>
          <w:szCs w:val="28"/>
        </w:rPr>
        <w:t xml:space="preserve"> 2017/07 relatif à la classification</w:t>
      </w:r>
      <w:r>
        <w:rPr>
          <w:rFonts w:ascii="Arial Black" w:hAnsi="Arial Black"/>
          <w:sz w:val="28"/>
          <w:szCs w:val="28"/>
        </w:rPr>
        <w:t>, à</w:t>
      </w:r>
      <w:r w:rsidRPr="00771F57">
        <w:rPr>
          <w:rFonts w:ascii="Arial Black" w:hAnsi="Arial Black"/>
          <w:sz w:val="28"/>
          <w:szCs w:val="28"/>
        </w:rPr>
        <w:t xml:space="preserve"> la comptabilisation et a</w:t>
      </w:r>
      <w:r>
        <w:rPr>
          <w:rFonts w:ascii="Arial Black" w:hAnsi="Arial Black"/>
          <w:sz w:val="28"/>
          <w:szCs w:val="28"/>
        </w:rPr>
        <w:t xml:space="preserve">u provisionnement des créances </w:t>
      </w:r>
      <w:r w:rsidRPr="00771F57">
        <w:rPr>
          <w:rFonts w:ascii="Arial Black" w:hAnsi="Arial Black"/>
          <w:sz w:val="28"/>
          <w:szCs w:val="28"/>
        </w:rPr>
        <w:t>des établissements de microfinance</w:t>
      </w:r>
    </w:p>
    <w:p w14:paraId="3892F5F4" w14:textId="77777777" w:rsidR="001B600E" w:rsidRDefault="001B600E" w:rsidP="001B600E">
      <w:pPr>
        <w:pStyle w:val="Paragraphedeliste"/>
        <w:numPr>
          <w:ilvl w:val="0"/>
          <w:numId w:val="20"/>
        </w:numPr>
        <w:spacing w:after="200" w:line="276" w:lineRule="auto"/>
        <w:ind w:left="567" w:hanging="283"/>
        <w:jc w:val="both"/>
        <w:rPr>
          <w:rFonts w:ascii="Arial Black" w:hAnsi="Arial Black"/>
          <w:sz w:val="28"/>
          <w:szCs w:val="28"/>
        </w:rPr>
      </w:pPr>
      <w:r>
        <w:rPr>
          <w:rFonts w:ascii="Arial Black" w:hAnsi="Arial Black"/>
          <w:sz w:val="28"/>
          <w:szCs w:val="28"/>
        </w:rPr>
        <w:t xml:space="preserve">le règlement COBAC </w:t>
      </w:r>
      <w:r w:rsidRPr="008668AA">
        <w:rPr>
          <w:rFonts w:ascii="Arial Black" w:hAnsi="Arial Black"/>
          <w:sz w:val="28"/>
          <w:szCs w:val="28"/>
        </w:rPr>
        <w:t>EMF R</w:t>
      </w:r>
      <w:r>
        <w:rPr>
          <w:rFonts w:ascii="Arial Black" w:hAnsi="Arial Black"/>
          <w:sz w:val="28"/>
          <w:szCs w:val="28"/>
        </w:rPr>
        <w:t>-</w:t>
      </w:r>
      <w:r w:rsidRPr="008668AA">
        <w:rPr>
          <w:rFonts w:ascii="Arial Black" w:hAnsi="Arial Black"/>
          <w:sz w:val="28"/>
          <w:szCs w:val="28"/>
        </w:rPr>
        <w:t xml:space="preserve"> 2017/08 portant plafonnement du montant de crédit accordé par les établissements</w:t>
      </w:r>
      <w:r>
        <w:rPr>
          <w:rFonts w:ascii="Arial Black" w:hAnsi="Arial Black"/>
          <w:sz w:val="28"/>
          <w:szCs w:val="28"/>
        </w:rPr>
        <w:t xml:space="preserve"> de microfinance</w:t>
      </w:r>
      <w:r w:rsidRPr="008668AA">
        <w:rPr>
          <w:rFonts w:ascii="Arial Black" w:hAnsi="Arial Black"/>
          <w:sz w:val="28"/>
          <w:szCs w:val="28"/>
        </w:rPr>
        <w:t>.</w:t>
      </w:r>
    </w:p>
    <w:p w14:paraId="78F256B9" w14:textId="77777777" w:rsidR="001B600E" w:rsidRDefault="001B600E" w:rsidP="001B600E">
      <w:pPr>
        <w:jc w:val="both"/>
        <w:rPr>
          <w:rFonts w:ascii="Arial Black" w:hAnsi="Arial Black"/>
          <w:sz w:val="28"/>
          <w:szCs w:val="28"/>
        </w:rPr>
      </w:pPr>
      <w:r>
        <w:rPr>
          <w:rFonts w:ascii="Arial Black" w:hAnsi="Arial Black"/>
          <w:sz w:val="28"/>
          <w:szCs w:val="28"/>
        </w:rPr>
        <w:t>Notre exposé consiste tout simplement à donner un aperçu général de ces deux textes de manière à permettre aux participants d’appréhender et d’en faire siennes les innovations qui s’y trouvent. Nous présenterons ainsi tour à tour les deux points suivants :</w:t>
      </w:r>
    </w:p>
    <w:p w14:paraId="40B24A64" w14:textId="77777777" w:rsidR="001B600E" w:rsidRDefault="001B600E" w:rsidP="001B600E">
      <w:pPr>
        <w:jc w:val="both"/>
        <w:rPr>
          <w:rFonts w:ascii="Arial Black" w:hAnsi="Arial Black"/>
          <w:sz w:val="28"/>
          <w:szCs w:val="28"/>
        </w:rPr>
      </w:pPr>
    </w:p>
    <w:p w14:paraId="12DCC702" w14:textId="77777777" w:rsidR="001B600E" w:rsidRDefault="001B600E" w:rsidP="001B600E">
      <w:pPr>
        <w:pStyle w:val="Paragraphedeliste"/>
        <w:numPr>
          <w:ilvl w:val="0"/>
          <w:numId w:val="25"/>
        </w:numPr>
        <w:spacing w:after="200" w:line="276" w:lineRule="auto"/>
        <w:ind w:left="1134" w:hanging="567"/>
        <w:jc w:val="both"/>
        <w:rPr>
          <w:rFonts w:ascii="Arial Black" w:hAnsi="Arial Black"/>
          <w:b/>
          <w:sz w:val="28"/>
          <w:szCs w:val="28"/>
        </w:rPr>
      </w:pPr>
      <w:r>
        <w:rPr>
          <w:rFonts w:ascii="Arial Black" w:hAnsi="Arial Black"/>
          <w:b/>
          <w:sz w:val="28"/>
          <w:szCs w:val="28"/>
        </w:rPr>
        <w:t xml:space="preserve">traitement des créances </w:t>
      </w:r>
      <w:r>
        <w:rPr>
          <w:rFonts w:ascii="Arial Black" w:hAnsi="Arial Black"/>
          <w:b/>
          <w:sz w:val="28"/>
          <w:szCs w:val="28"/>
        </w:rPr>
        <w:t xml:space="preserve">conformément </w:t>
      </w:r>
      <w:r>
        <w:rPr>
          <w:rFonts w:ascii="Arial Black" w:hAnsi="Arial Black"/>
          <w:b/>
          <w:sz w:val="28"/>
          <w:szCs w:val="28"/>
        </w:rPr>
        <w:t>au</w:t>
      </w:r>
      <w:r w:rsidRPr="00613298">
        <w:rPr>
          <w:rFonts w:ascii="Arial Black" w:hAnsi="Arial Black"/>
          <w:b/>
          <w:sz w:val="28"/>
          <w:szCs w:val="28"/>
        </w:rPr>
        <w:t xml:space="preserve"> règlement COBAC EMF R-2017/07 </w:t>
      </w:r>
    </w:p>
    <w:p w14:paraId="03F5E32F" w14:textId="3ACB41B0" w:rsidR="001B600E" w:rsidRPr="00613298" w:rsidRDefault="001B600E" w:rsidP="001B600E">
      <w:pPr>
        <w:pStyle w:val="Paragraphedeliste"/>
        <w:spacing w:after="200" w:line="276" w:lineRule="auto"/>
        <w:ind w:left="1134" w:hanging="567"/>
        <w:jc w:val="both"/>
        <w:rPr>
          <w:rFonts w:ascii="Arial Black" w:hAnsi="Arial Black"/>
          <w:b/>
          <w:sz w:val="28"/>
          <w:szCs w:val="28"/>
        </w:rPr>
      </w:pPr>
      <w:r w:rsidRPr="00613298">
        <w:rPr>
          <w:rFonts w:ascii="Arial Black" w:hAnsi="Arial Black"/>
          <w:b/>
          <w:sz w:val="28"/>
          <w:szCs w:val="28"/>
        </w:rPr>
        <w:t xml:space="preserve"> </w:t>
      </w:r>
    </w:p>
    <w:p w14:paraId="0B192BD0" w14:textId="77777777" w:rsidR="001B600E" w:rsidRDefault="001B600E" w:rsidP="001B600E">
      <w:pPr>
        <w:pStyle w:val="Paragraphedeliste"/>
        <w:numPr>
          <w:ilvl w:val="0"/>
          <w:numId w:val="25"/>
        </w:numPr>
        <w:spacing w:after="200" w:line="276" w:lineRule="auto"/>
        <w:ind w:left="1134" w:hanging="567"/>
        <w:jc w:val="both"/>
        <w:rPr>
          <w:rFonts w:ascii="Arial Black" w:hAnsi="Arial Black"/>
          <w:b/>
          <w:sz w:val="28"/>
          <w:szCs w:val="28"/>
        </w:rPr>
      </w:pPr>
      <w:r>
        <w:rPr>
          <w:rFonts w:ascii="Arial Black" w:hAnsi="Arial Black"/>
          <w:b/>
          <w:sz w:val="28"/>
          <w:szCs w:val="28"/>
        </w:rPr>
        <w:t>traitement des créances conformément au règlement COBAC EMF R-2017/08</w:t>
      </w:r>
    </w:p>
    <w:p w14:paraId="00D57498" w14:textId="77777777" w:rsidR="001B600E" w:rsidRPr="001B600E" w:rsidRDefault="001B600E" w:rsidP="001B600E">
      <w:pPr>
        <w:pStyle w:val="Paragraphedeliste"/>
        <w:rPr>
          <w:rFonts w:ascii="Arial Black" w:hAnsi="Arial Black"/>
          <w:b/>
          <w:sz w:val="28"/>
          <w:szCs w:val="28"/>
        </w:rPr>
      </w:pPr>
    </w:p>
    <w:p w14:paraId="22A3CBFD" w14:textId="77777777" w:rsidR="001B600E" w:rsidRPr="001B600E" w:rsidRDefault="001B600E" w:rsidP="001B600E">
      <w:pPr>
        <w:spacing w:after="200" w:line="276" w:lineRule="auto"/>
        <w:jc w:val="both"/>
        <w:rPr>
          <w:rFonts w:ascii="Arial Black" w:hAnsi="Arial Black"/>
          <w:b/>
          <w:sz w:val="28"/>
          <w:szCs w:val="28"/>
        </w:rPr>
      </w:pPr>
    </w:p>
    <w:p w14:paraId="5FB284B5" w14:textId="40C52933" w:rsidR="001B600E" w:rsidRDefault="001B600E" w:rsidP="00EE253D">
      <w:pPr>
        <w:ind w:left="567" w:hanging="567"/>
        <w:jc w:val="both"/>
        <w:rPr>
          <w:rFonts w:ascii="Verdana" w:hAnsi="Verdana"/>
          <w:b/>
          <w:sz w:val="36"/>
          <w:szCs w:val="36"/>
        </w:rPr>
      </w:pPr>
      <w:r w:rsidRPr="00613298">
        <w:rPr>
          <w:rFonts w:ascii="Verdana" w:hAnsi="Verdana"/>
          <w:b/>
          <w:sz w:val="36"/>
          <w:szCs w:val="36"/>
        </w:rPr>
        <w:lastRenderedPageBreak/>
        <w:t>I</w:t>
      </w:r>
      <w:r>
        <w:rPr>
          <w:rFonts w:ascii="Verdana" w:hAnsi="Verdana"/>
          <w:b/>
          <w:sz w:val="36"/>
          <w:szCs w:val="36"/>
        </w:rPr>
        <w:tab/>
      </w:r>
      <w:r w:rsidRPr="00613298">
        <w:rPr>
          <w:rFonts w:ascii="Verdana" w:hAnsi="Verdana"/>
          <w:b/>
          <w:sz w:val="36"/>
          <w:szCs w:val="36"/>
        </w:rPr>
        <w:t>TRAITEMENT DES CREANCES CONFORMEMENT AU REGLEMENT COBAC EMF R-2017/07 RELATIF A LA CLASSIFICATION A LA COMPTABILISATION ET AU PROVISIONNEMENT DES CREANCES DES ETABLISSEMENTS DE MICROFINANCE</w:t>
      </w:r>
      <w:r w:rsidRPr="00613298">
        <w:rPr>
          <w:rFonts w:ascii="Verdana" w:hAnsi="Verdana"/>
          <w:b/>
          <w:sz w:val="36"/>
          <w:szCs w:val="36"/>
        </w:rPr>
        <w:tab/>
      </w:r>
    </w:p>
    <w:p w14:paraId="66CA574D" w14:textId="77777777" w:rsidR="00EE253D" w:rsidRDefault="00EE253D" w:rsidP="001B600E">
      <w:pPr>
        <w:ind w:left="1410" w:hanging="1050"/>
        <w:jc w:val="both"/>
        <w:rPr>
          <w:rFonts w:ascii="Verdana" w:hAnsi="Verdana"/>
          <w:b/>
          <w:sz w:val="36"/>
          <w:szCs w:val="36"/>
        </w:rPr>
      </w:pPr>
    </w:p>
    <w:p w14:paraId="5E99EBCB" w14:textId="77777777" w:rsidR="001B600E" w:rsidRDefault="001B600E" w:rsidP="007768D5">
      <w:pPr>
        <w:jc w:val="both"/>
        <w:rPr>
          <w:rFonts w:ascii="Verdana" w:hAnsi="Verdana"/>
          <w:b/>
          <w:sz w:val="36"/>
          <w:szCs w:val="36"/>
        </w:rPr>
      </w:pPr>
      <w:r>
        <w:rPr>
          <w:rFonts w:ascii="Verdana" w:hAnsi="Verdana"/>
          <w:b/>
          <w:sz w:val="36"/>
          <w:szCs w:val="36"/>
        </w:rPr>
        <w:t>I-1</w:t>
      </w:r>
      <w:r>
        <w:rPr>
          <w:rFonts w:ascii="Verdana" w:hAnsi="Verdana"/>
          <w:b/>
          <w:sz w:val="36"/>
          <w:szCs w:val="36"/>
        </w:rPr>
        <w:tab/>
        <w:t xml:space="preserve">Généralités sur le texte </w:t>
      </w:r>
    </w:p>
    <w:p w14:paraId="17A982EB" w14:textId="77777777" w:rsidR="007768D5" w:rsidRDefault="007768D5" w:rsidP="007768D5">
      <w:pPr>
        <w:jc w:val="both"/>
        <w:rPr>
          <w:rFonts w:ascii="Verdana" w:hAnsi="Verdana"/>
          <w:b/>
          <w:sz w:val="36"/>
          <w:szCs w:val="36"/>
        </w:rPr>
      </w:pPr>
    </w:p>
    <w:p w14:paraId="51F7B4FE" w14:textId="05EE07AF" w:rsidR="001B600E" w:rsidRDefault="007768D5" w:rsidP="007768D5">
      <w:pPr>
        <w:jc w:val="both"/>
        <w:rPr>
          <w:rFonts w:ascii="Verdana" w:hAnsi="Verdana"/>
          <w:b/>
          <w:sz w:val="28"/>
          <w:szCs w:val="28"/>
        </w:rPr>
      </w:pPr>
      <w:r>
        <w:rPr>
          <w:rFonts w:ascii="Arial Black" w:hAnsi="Arial Black"/>
          <w:sz w:val="28"/>
          <w:szCs w:val="28"/>
        </w:rPr>
        <w:t xml:space="preserve">De manière générale ce </w:t>
      </w:r>
      <w:r w:rsidR="001B600E" w:rsidRPr="00352FAC">
        <w:rPr>
          <w:rFonts w:ascii="Arial Black" w:hAnsi="Arial Black"/>
          <w:sz w:val="28"/>
          <w:szCs w:val="28"/>
        </w:rPr>
        <w:t>nouveau texte abroge le règlement COBAC EMF 2002/18 relatif à la comptabilisation et au provisionnement des créances en souffrance. Il apporte quelques précisions sur certaines définitions et consacre la notion de créances saines déjà prévu dans le PCEMF tout en intégrant la notion et le traitement des créances restructurées</w:t>
      </w:r>
      <w:r w:rsidR="001B600E">
        <w:rPr>
          <w:rFonts w:ascii="Verdana" w:hAnsi="Verdana"/>
          <w:b/>
          <w:sz w:val="28"/>
          <w:szCs w:val="28"/>
        </w:rPr>
        <w:t>.</w:t>
      </w:r>
    </w:p>
    <w:p w14:paraId="5D1029A4" w14:textId="77777777" w:rsidR="007768D5" w:rsidRDefault="007768D5" w:rsidP="007768D5">
      <w:pPr>
        <w:jc w:val="both"/>
        <w:rPr>
          <w:rFonts w:ascii="Verdana" w:hAnsi="Verdana"/>
          <w:b/>
          <w:sz w:val="28"/>
          <w:szCs w:val="28"/>
        </w:rPr>
      </w:pPr>
    </w:p>
    <w:p w14:paraId="26E763D8" w14:textId="223688D1" w:rsidR="001B600E" w:rsidRDefault="001B600E" w:rsidP="007768D5">
      <w:pPr>
        <w:jc w:val="both"/>
        <w:rPr>
          <w:rFonts w:ascii="Arial Black" w:hAnsi="Arial Black"/>
          <w:sz w:val="28"/>
          <w:szCs w:val="28"/>
        </w:rPr>
      </w:pPr>
      <w:r w:rsidRPr="00352FAC">
        <w:rPr>
          <w:rFonts w:ascii="Verdana" w:hAnsi="Verdana"/>
          <w:b/>
          <w:sz w:val="28"/>
          <w:szCs w:val="28"/>
        </w:rPr>
        <w:t xml:space="preserve">Ce texte donne les détails sur les types de garanties admises et les règles de provisionnement applicables à chaque. Il </w:t>
      </w:r>
      <w:r>
        <w:rPr>
          <w:rFonts w:ascii="Verdana" w:hAnsi="Verdana"/>
          <w:b/>
          <w:sz w:val="28"/>
          <w:szCs w:val="28"/>
        </w:rPr>
        <w:t>met</w:t>
      </w:r>
      <w:r w:rsidRPr="00352FAC">
        <w:rPr>
          <w:rFonts w:ascii="Verdana" w:hAnsi="Verdana"/>
          <w:b/>
          <w:sz w:val="28"/>
          <w:szCs w:val="28"/>
        </w:rPr>
        <w:t xml:space="preserve"> de ce fait </w:t>
      </w:r>
      <w:r>
        <w:rPr>
          <w:rFonts w:ascii="Verdana" w:hAnsi="Verdana"/>
          <w:b/>
          <w:sz w:val="28"/>
          <w:szCs w:val="28"/>
        </w:rPr>
        <w:t xml:space="preserve">en exergue </w:t>
      </w:r>
      <w:proofErr w:type="gramStart"/>
      <w:r>
        <w:rPr>
          <w:rFonts w:ascii="Verdana" w:hAnsi="Verdana"/>
          <w:b/>
          <w:sz w:val="28"/>
          <w:szCs w:val="28"/>
        </w:rPr>
        <w:t>la</w:t>
      </w:r>
      <w:proofErr w:type="gramEnd"/>
      <w:r>
        <w:rPr>
          <w:rFonts w:ascii="Verdana" w:hAnsi="Verdana"/>
          <w:b/>
          <w:sz w:val="28"/>
          <w:szCs w:val="28"/>
        </w:rPr>
        <w:t xml:space="preserve"> non prise en compte de certaines garanties</w:t>
      </w:r>
      <w:r w:rsidRPr="00352FAC">
        <w:rPr>
          <w:rFonts w:ascii="Verdana" w:hAnsi="Verdana"/>
          <w:b/>
          <w:sz w:val="28"/>
          <w:szCs w:val="28"/>
        </w:rPr>
        <w:t xml:space="preserve"> couramment</w:t>
      </w:r>
      <w:r>
        <w:rPr>
          <w:rFonts w:ascii="Verdana" w:hAnsi="Verdana"/>
          <w:b/>
          <w:sz w:val="28"/>
          <w:szCs w:val="28"/>
        </w:rPr>
        <w:t xml:space="preserve"> utilisées</w:t>
      </w:r>
      <w:r w:rsidRPr="00352FAC">
        <w:rPr>
          <w:rFonts w:ascii="Verdana" w:hAnsi="Verdana"/>
          <w:b/>
          <w:sz w:val="28"/>
          <w:szCs w:val="28"/>
        </w:rPr>
        <w:t xml:space="preserve"> par les EMF (caution solidaire, gage des biens mobiliers)</w:t>
      </w:r>
      <w:r>
        <w:rPr>
          <w:rFonts w:ascii="Verdana" w:hAnsi="Verdana"/>
          <w:b/>
          <w:sz w:val="28"/>
          <w:szCs w:val="28"/>
        </w:rPr>
        <w:t xml:space="preserve"> dans le provisionnement, lequel se fait intégralement en cas de défaillance de la contrepartie. Bien plus, il donne un éclaircissement sur le provisionnement des créances douteuses couvertes par les garanties telles que </w:t>
      </w:r>
      <w:r>
        <w:rPr>
          <w:rFonts w:ascii="Arial Black" w:hAnsi="Arial Black"/>
          <w:sz w:val="28"/>
          <w:szCs w:val="28"/>
        </w:rPr>
        <w:t>l</w:t>
      </w:r>
      <w:r w:rsidRPr="00352FAC">
        <w:rPr>
          <w:rFonts w:ascii="Arial Black" w:hAnsi="Arial Black"/>
          <w:sz w:val="28"/>
          <w:szCs w:val="28"/>
        </w:rPr>
        <w:t xml:space="preserve">es garanties reçues de la part d’un établissement de crédit implanté dans la zone CEMAC, celles reçues des banques multilatérales de développement, d’organismes multilatéraux de financement </w:t>
      </w:r>
      <w:r>
        <w:rPr>
          <w:rFonts w:ascii="Arial Black" w:hAnsi="Arial Black"/>
          <w:sz w:val="28"/>
          <w:szCs w:val="28"/>
        </w:rPr>
        <w:t>etc. Ce texte rend facultatif le provisionnement des créances sur l’Etat ou garanties par celui-ci</w:t>
      </w:r>
      <w:r w:rsidR="007768D5">
        <w:rPr>
          <w:rFonts w:ascii="Arial Black" w:hAnsi="Arial Black"/>
          <w:sz w:val="28"/>
          <w:szCs w:val="28"/>
        </w:rPr>
        <w:t>.</w:t>
      </w:r>
    </w:p>
    <w:p w14:paraId="1F372942" w14:textId="77777777" w:rsidR="007768D5" w:rsidRDefault="007768D5" w:rsidP="007768D5">
      <w:pPr>
        <w:jc w:val="both"/>
        <w:rPr>
          <w:rFonts w:ascii="Arial Black" w:hAnsi="Arial Black"/>
          <w:sz w:val="28"/>
          <w:szCs w:val="28"/>
        </w:rPr>
      </w:pPr>
    </w:p>
    <w:p w14:paraId="212B8A7A" w14:textId="77777777" w:rsidR="007768D5" w:rsidRDefault="007768D5" w:rsidP="007768D5">
      <w:pPr>
        <w:jc w:val="both"/>
        <w:rPr>
          <w:rFonts w:ascii="Arial Black" w:hAnsi="Arial Black"/>
          <w:sz w:val="28"/>
          <w:szCs w:val="28"/>
        </w:rPr>
      </w:pPr>
    </w:p>
    <w:p w14:paraId="1E6C27EA" w14:textId="77777777" w:rsidR="007768D5" w:rsidRDefault="007768D5" w:rsidP="007768D5">
      <w:pPr>
        <w:jc w:val="both"/>
        <w:rPr>
          <w:rFonts w:ascii="Arial Black" w:hAnsi="Arial Black"/>
          <w:sz w:val="28"/>
          <w:szCs w:val="28"/>
        </w:rPr>
      </w:pPr>
    </w:p>
    <w:p w14:paraId="501A623A" w14:textId="77777777" w:rsidR="007768D5" w:rsidRDefault="007768D5" w:rsidP="007768D5">
      <w:pPr>
        <w:jc w:val="both"/>
        <w:rPr>
          <w:rFonts w:ascii="Arial Black" w:hAnsi="Arial Black"/>
          <w:sz w:val="28"/>
          <w:szCs w:val="28"/>
        </w:rPr>
      </w:pPr>
    </w:p>
    <w:p w14:paraId="15EE1AB5" w14:textId="77777777" w:rsidR="001B600E" w:rsidRDefault="001B600E" w:rsidP="007768D5">
      <w:pPr>
        <w:ind w:left="567" w:hanging="283"/>
        <w:jc w:val="both"/>
        <w:rPr>
          <w:rFonts w:ascii="Arial Black" w:hAnsi="Arial Black"/>
          <w:sz w:val="28"/>
          <w:szCs w:val="28"/>
        </w:rPr>
      </w:pPr>
      <w:r>
        <w:rPr>
          <w:rFonts w:ascii="Verdana" w:hAnsi="Verdana"/>
          <w:b/>
          <w:sz w:val="28"/>
          <w:szCs w:val="28"/>
        </w:rPr>
        <w:lastRenderedPageBreak/>
        <w:t>I-2</w:t>
      </w:r>
      <w:r>
        <w:rPr>
          <w:rFonts w:ascii="Verdana" w:hAnsi="Verdana"/>
          <w:b/>
          <w:sz w:val="28"/>
          <w:szCs w:val="28"/>
        </w:rPr>
        <w:tab/>
        <w:t>Spécificités sur la classification des créances</w:t>
      </w:r>
    </w:p>
    <w:p w14:paraId="6A833EEF" w14:textId="77777777" w:rsidR="001B600E" w:rsidRPr="00E657B5" w:rsidRDefault="001B600E" w:rsidP="001B600E">
      <w:pPr>
        <w:ind w:left="360"/>
        <w:jc w:val="both"/>
        <w:rPr>
          <w:rFonts w:ascii="Arial Black" w:hAnsi="Arial Black"/>
          <w:sz w:val="28"/>
          <w:szCs w:val="28"/>
        </w:rPr>
      </w:pPr>
    </w:p>
    <w:tbl>
      <w:tblPr>
        <w:tblStyle w:val="Grilledutableau"/>
        <w:tblW w:w="10031" w:type="dxa"/>
        <w:tblLook w:val="04A0" w:firstRow="1" w:lastRow="0" w:firstColumn="1" w:lastColumn="0" w:noHBand="0" w:noVBand="1"/>
      </w:tblPr>
      <w:tblGrid>
        <w:gridCol w:w="4606"/>
        <w:gridCol w:w="5425"/>
      </w:tblGrid>
      <w:tr w:rsidR="001B600E" w:rsidRPr="008668AA" w14:paraId="376A5CB9" w14:textId="77777777" w:rsidTr="007768D5">
        <w:tc>
          <w:tcPr>
            <w:tcW w:w="4606" w:type="dxa"/>
          </w:tcPr>
          <w:p w14:paraId="481244F8" w14:textId="77777777" w:rsidR="001B600E" w:rsidRPr="008668AA" w:rsidRDefault="001B600E" w:rsidP="00BA4219">
            <w:pPr>
              <w:jc w:val="both"/>
              <w:rPr>
                <w:rFonts w:ascii="Arial Black" w:hAnsi="Arial Black"/>
                <w:sz w:val="28"/>
                <w:szCs w:val="28"/>
              </w:rPr>
            </w:pPr>
            <w:r w:rsidRPr="008668AA">
              <w:rPr>
                <w:rFonts w:ascii="Arial Black" w:hAnsi="Arial Black"/>
                <w:sz w:val="28"/>
                <w:szCs w:val="28"/>
              </w:rPr>
              <w:t>libellés</w:t>
            </w:r>
          </w:p>
        </w:tc>
        <w:tc>
          <w:tcPr>
            <w:tcW w:w="5425" w:type="dxa"/>
          </w:tcPr>
          <w:p w14:paraId="7FECB861" w14:textId="77777777" w:rsidR="001B600E" w:rsidRPr="008668AA" w:rsidRDefault="001B600E" w:rsidP="00BA4219">
            <w:pPr>
              <w:jc w:val="both"/>
              <w:rPr>
                <w:rFonts w:ascii="Arial Black" w:hAnsi="Arial Black"/>
                <w:sz w:val="28"/>
                <w:szCs w:val="28"/>
              </w:rPr>
            </w:pPr>
            <w:r w:rsidRPr="008668AA">
              <w:rPr>
                <w:rFonts w:ascii="Arial Black" w:hAnsi="Arial Black"/>
                <w:sz w:val="28"/>
                <w:szCs w:val="28"/>
              </w:rPr>
              <w:t xml:space="preserve">Innovation </w:t>
            </w:r>
            <w:r>
              <w:rPr>
                <w:rFonts w:ascii="Arial Black" w:hAnsi="Arial Black"/>
                <w:sz w:val="28"/>
                <w:szCs w:val="28"/>
              </w:rPr>
              <w:t>dans le règlement R-</w:t>
            </w:r>
            <w:r w:rsidRPr="008668AA">
              <w:rPr>
                <w:rFonts w:ascii="Arial Black" w:hAnsi="Arial Black"/>
                <w:sz w:val="28"/>
                <w:szCs w:val="28"/>
              </w:rPr>
              <w:t xml:space="preserve"> 2017/07</w:t>
            </w:r>
          </w:p>
        </w:tc>
      </w:tr>
      <w:tr w:rsidR="001B600E" w:rsidRPr="008668AA" w14:paraId="53BCAE08" w14:textId="77777777" w:rsidTr="007768D5">
        <w:tc>
          <w:tcPr>
            <w:tcW w:w="4606" w:type="dxa"/>
          </w:tcPr>
          <w:p w14:paraId="0673E5E0" w14:textId="77777777" w:rsidR="001B600E" w:rsidRPr="008668AA" w:rsidRDefault="001B600E" w:rsidP="00BA4219">
            <w:pPr>
              <w:jc w:val="both"/>
              <w:rPr>
                <w:rFonts w:ascii="Arial Black" w:hAnsi="Arial Black"/>
                <w:sz w:val="28"/>
                <w:szCs w:val="28"/>
              </w:rPr>
            </w:pPr>
            <w:r w:rsidRPr="008668AA">
              <w:rPr>
                <w:rFonts w:ascii="Arial Black" w:hAnsi="Arial Black"/>
                <w:sz w:val="28"/>
                <w:szCs w:val="28"/>
              </w:rPr>
              <w:t xml:space="preserve">1/ sur la </w:t>
            </w:r>
            <w:r>
              <w:rPr>
                <w:rFonts w:ascii="Arial Black" w:hAnsi="Arial Black"/>
                <w:sz w:val="28"/>
                <w:szCs w:val="28"/>
              </w:rPr>
              <w:t>répartition de     créances</w:t>
            </w:r>
          </w:p>
        </w:tc>
        <w:tc>
          <w:tcPr>
            <w:tcW w:w="5425" w:type="dxa"/>
          </w:tcPr>
          <w:p w14:paraId="27466C7D" w14:textId="77777777" w:rsidR="001B600E" w:rsidRPr="008668AA" w:rsidRDefault="001B600E" w:rsidP="00BA4219">
            <w:pPr>
              <w:jc w:val="both"/>
              <w:rPr>
                <w:rFonts w:ascii="Arial Black" w:hAnsi="Arial Black"/>
                <w:sz w:val="28"/>
                <w:szCs w:val="28"/>
              </w:rPr>
            </w:pPr>
            <w:r>
              <w:rPr>
                <w:rFonts w:ascii="Arial Black" w:hAnsi="Arial Black"/>
                <w:sz w:val="28"/>
                <w:szCs w:val="28"/>
              </w:rPr>
              <w:t xml:space="preserve">   </w:t>
            </w:r>
            <w:r w:rsidRPr="008668AA">
              <w:rPr>
                <w:rFonts w:ascii="Arial Black" w:hAnsi="Arial Black"/>
                <w:sz w:val="28"/>
                <w:szCs w:val="28"/>
              </w:rPr>
              <w:t xml:space="preserve">Clarification sur la répartition </w:t>
            </w:r>
            <w:r>
              <w:rPr>
                <w:rFonts w:ascii="Arial Black" w:hAnsi="Arial Black"/>
                <w:sz w:val="28"/>
                <w:szCs w:val="28"/>
              </w:rPr>
              <w:t>des créances en « créances sain</w:t>
            </w:r>
            <w:r w:rsidRPr="008668AA">
              <w:rPr>
                <w:rFonts w:ascii="Arial Black" w:hAnsi="Arial Black"/>
                <w:sz w:val="28"/>
                <w:szCs w:val="28"/>
              </w:rPr>
              <w:t>es » et « créances en souffrance » (article 2)</w:t>
            </w:r>
          </w:p>
        </w:tc>
      </w:tr>
      <w:tr w:rsidR="001B600E" w:rsidRPr="008668AA" w14:paraId="65FC128C" w14:textId="77777777" w:rsidTr="007768D5">
        <w:tc>
          <w:tcPr>
            <w:tcW w:w="4606" w:type="dxa"/>
          </w:tcPr>
          <w:p w14:paraId="086D52B5" w14:textId="77777777" w:rsidR="001B600E" w:rsidRPr="008668AA" w:rsidRDefault="001B600E" w:rsidP="00BA4219">
            <w:pPr>
              <w:jc w:val="both"/>
              <w:rPr>
                <w:rFonts w:ascii="Arial Black" w:hAnsi="Arial Black"/>
                <w:sz w:val="28"/>
                <w:szCs w:val="28"/>
              </w:rPr>
            </w:pPr>
            <w:r w:rsidRPr="008668AA">
              <w:rPr>
                <w:rFonts w:ascii="Arial Black" w:hAnsi="Arial Black"/>
                <w:sz w:val="28"/>
                <w:szCs w:val="28"/>
              </w:rPr>
              <w:t>2/ sur la définition des créances</w:t>
            </w:r>
          </w:p>
        </w:tc>
        <w:tc>
          <w:tcPr>
            <w:tcW w:w="5425" w:type="dxa"/>
          </w:tcPr>
          <w:p w14:paraId="650AAF83" w14:textId="77777777" w:rsidR="001B600E" w:rsidRPr="008668AA" w:rsidRDefault="001B600E" w:rsidP="00BA4219">
            <w:pPr>
              <w:jc w:val="both"/>
              <w:rPr>
                <w:rFonts w:ascii="Arial Black" w:hAnsi="Arial Black"/>
                <w:sz w:val="28"/>
                <w:szCs w:val="28"/>
              </w:rPr>
            </w:pPr>
            <w:r>
              <w:rPr>
                <w:rFonts w:ascii="Arial Black" w:hAnsi="Arial Black"/>
                <w:sz w:val="28"/>
                <w:szCs w:val="28"/>
              </w:rPr>
              <w:t xml:space="preserve">   </w:t>
            </w:r>
            <w:r w:rsidRPr="008668AA">
              <w:rPr>
                <w:rFonts w:ascii="Arial Black" w:hAnsi="Arial Black"/>
                <w:sz w:val="28"/>
                <w:szCs w:val="28"/>
              </w:rPr>
              <w:t>Précision</w:t>
            </w:r>
            <w:r>
              <w:rPr>
                <w:rFonts w:ascii="Arial Black" w:hAnsi="Arial Black"/>
                <w:sz w:val="28"/>
                <w:szCs w:val="28"/>
              </w:rPr>
              <w:t>s</w:t>
            </w:r>
            <w:r w:rsidRPr="008668AA">
              <w:rPr>
                <w:rFonts w:ascii="Arial Black" w:hAnsi="Arial Black"/>
                <w:sz w:val="28"/>
                <w:szCs w:val="28"/>
              </w:rPr>
              <w:t xml:space="preserve"> apportées sur ce qu’est une</w:t>
            </w:r>
            <w:r>
              <w:rPr>
                <w:rFonts w:ascii="Arial Black" w:hAnsi="Arial Black"/>
                <w:sz w:val="28"/>
                <w:szCs w:val="28"/>
              </w:rPr>
              <w:t xml:space="preserve"> « créance »</w:t>
            </w:r>
            <w:r w:rsidRPr="008668AA">
              <w:rPr>
                <w:rFonts w:ascii="Arial Black" w:hAnsi="Arial Black"/>
                <w:sz w:val="28"/>
                <w:szCs w:val="28"/>
              </w:rPr>
              <w:t xml:space="preserve"> </w:t>
            </w:r>
            <w:r>
              <w:rPr>
                <w:rFonts w:ascii="Arial Black" w:hAnsi="Arial Black"/>
                <w:sz w:val="28"/>
                <w:szCs w:val="28"/>
              </w:rPr>
              <w:t>(article 3) et une « créance sain</w:t>
            </w:r>
            <w:r w:rsidRPr="008668AA">
              <w:rPr>
                <w:rFonts w:ascii="Arial Black" w:hAnsi="Arial Black"/>
                <w:sz w:val="28"/>
                <w:szCs w:val="28"/>
              </w:rPr>
              <w:t>e</w:t>
            </w:r>
            <w:r>
              <w:rPr>
                <w:rFonts w:ascii="Arial Black" w:hAnsi="Arial Black"/>
                <w:sz w:val="28"/>
                <w:szCs w:val="28"/>
              </w:rPr>
              <w:t> »</w:t>
            </w:r>
            <w:r w:rsidRPr="008668AA">
              <w:rPr>
                <w:rFonts w:ascii="Arial Black" w:hAnsi="Arial Black"/>
                <w:sz w:val="28"/>
                <w:szCs w:val="28"/>
              </w:rPr>
              <w:t xml:space="preserve"> (article4) avant de parler des créances en souffrances </w:t>
            </w:r>
          </w:p>
        </w:tc>
      </w:tr>
      <w:tr w:rsidR="001B600E" w:rsidRPr="008668AA" w14:paraId="0E389DCD" w14:textId="77777777" w:rsidTr="007768D5">
        <w:tc>
          <w:tcPr>
            <w:tcW w:w="4606" w:type="dxa"/>
          </w:tcPr>
          <w:p w14:paraId="12607C86" w14:textId="77777777" w:rsidR="001B600E" w:rsidRPr="008668AA" w:rsidRDefault="001B600E" w:rsidP="00BA4219">
            <w:pPr>
              <w:jc w:val="both"/>
              <w:rPr>
                <w:rFonts w:ascii="Arial Black" w:hAnsi="Arial Black"/>
                <w:sz w:val="28"/>
                <w:szCs w:val="28"/>
              </w:rPr>
            </w:pPr>
            <w:r w:rsidRPr="008668AA">
              <w:rPr>
                <w:rFonts w:ascii="Arial Black" w:hAnsi="Arial Black"/>
                <w:sz w:val="28"/>
                <w:szCs w:val="28"/>
              </w:rPr>
              <w:t>3/ sur les créances en souffrance</w:t>
            </w:r>
          </w:p>
        </w:tc>
        <w:tc>
          <w:tcPr>
            <w:tcW w:w="5425" w:type="dxa"/>
          </w:tcPr>
          <w:p w14:paraId="1A95D73B" w14:textId="77777777" w:rsidR="001B600E" w:rsidRPr="008668AA" w:rsidRDefault="001B600E" w:rsidP="00BA4219">
            <w:pPr>
              <w:jc w:val="both"/>
              <w:rPr>
                <w:rFonts w:ascii="Arial Black" w:hAnsi="Arial Black"/>
                <w:sz w:val="28"/>
                <w:szCs w:val="28"/>
              </w:rPr>
            </w:pPr>
            <w:r>
              <w:rPr>
                <w:rFonts w:ascii="Arial Black" w:hAnsi="Arial Black"/>
                <w:sz w:val="28"/>
                <w:szCs w:val="28"/>
              </w:rPr>
              <w:t xml:space="preserve">    C</w:t>
            </w:r>
            <w:r w:rsidRPr="008668AA">
              <w:rPr>
                <w:rFonts w:ascii="Arial Black" w:hAnsi="Arial Black"/>
                <w:sz w:val="28"/>
                <w:szCs w:val="28"/>
              </w:rPr>
              <w:t xml:space="preserve">hangement important de la définition d’une créance immobilisée (article6). Il en ressort que les créances immobilisées sont uniquement celles qui sont portés directement </w:t>
            </w:r>
            <w:r>
              <w:rPr>
                <w:rFonts w:ascii="Arial Black" w:hAnsi="Arial Black"/>
                <w:sz w:val="28"/>
                <w:szCs w:val="28"/>
              </w:rPr>
              <w:t>ou garanties</w:t>
            </w:r>
            <w:r w:rsidRPr="008668AA">
              <w:rPr>
                <w:rFonts w:ascii="Arial Black" w:hAnsi="Arial Black"/>
                <w:sz w:val="28"/>
                <w:szCs w:val="28"/>
              </w:rPr>
              <w:t xml:space="preserve"> par l’Etat</w:t>
            </w:r>
            <w:r>
              <w:rPr>
                <w:rFonts w:ascii="Arial Black" w:hAnsi="Arial Black"/>
                <w:sz w:val="28"/>
                <w:szCs w:val="28"/>
              </w:rPr>
              <w:t xml:space="preserve"> et dont les paiements sont irrévocablement domiciliés dans les comptes de l’EMF</w:t>
            </w:r>
            <w:r w:rsidRPr="008668AA">
              <w:rPr>
                <w:rFonts w:ascii="Arial Black" w:hAnsi="Arial Black"/>
                <w:sz w:val="28"/>
                <w:szCs w:val="28"/>
              </w:rPr>
              <w:t xml:space="preserve"> </w:t>
            </w:r>
          </w:p>
          <w:p w14:paraId="016EAEE8" w14:textId="77777777" w:rsidR="001B600E" w:rsidRPr="008668AA" w:rsidRDefault="001B600E" w:rsidP="00BA4219">
            <w:pPr>
              <w:jc w:val="both"/>
              <w:rPr>
                <w:rFonts w:ascii="Arial Black" w:hAnsi="Arial Black"/>
                <w:sz w:val="28"/>
                <w:szCs w:val="28"/>
              </w:rPr>
            </w:pPr>
            <w:r>
              <w:rPr>
                <w:rFonts w:ascii="Arial Black" w:hAnsi="Arial Black"/>
                <w:sz w:val="28"/>
                <w:szCs w:val="28"/>
              </w:rPr>
              <w:t xml:space="preserve">   </w:t>
            </w:r>
            <w:r w:rsidRPr="008668AA">
              <w:rPr>
                <w:rFonts w:ascii="Arial Black" w:hAnsi="Arial Black"/>
                <w:sz w:val="28"/>
                <w:szCs w:val="28"/>
              </w:rPr>
              <w:t>Par ailleurs, la COBAC p</w:t>
            </w:r>
            <w:r>
              <w:rPr>
                <w:rFonts w:ascii="Arial Black" w:hAnsi="Arial Black"/>
                <w:sz w:val="28"/>
                <w:szCs w:val="28"/>
              </w:rPr>
              <w:t>eut</w:t>
            </w:r>
            <w:r w:rsidRPr="008668AA">
              <w:rPr>
                <w:rFonts w:ascii="Arial Black" w:hAnsi="Arial Black"/>
                <w:sz w:val="28"/>
                <w:szCs w:val="28"/>
              </w:rPr>
              <w:t xml:space="preserve"> désormais étendre le périmètre des personnes liées en fonction des éléments objectifs en sa possession (article 9</w:t>
            </w:r>
            <w:r>
              <w:rPr>
                <w:rFonts w:ascii="Arial Black" w:hAnsi="Arial Black"/>
                <w:sz w:val="28"/>
                <w:szCs w:val="28"/>
              </w:rPr>
              <w:t>)</w:t>
            </w:r>
          </w:p>
        </w:tc>
      </w:tr>
    </w:tbl>
    <w:p w14:paraId="2D0A78B3" w14:textId="77777777" w:rsidR="001B600E" w:rsidRPr="008668AA" w:rsidRDefault="001B600E" w:rsidP="001B600E">
      <w:pPr>
        <w:jc w:val="both"/>
        <w:rPr>
          <w:rFonts w:ascii="Arial Black" w:hAnsi="Arial Black"/>
          <w:sz w:val="28"/>
          <w:szCs w:val="28"/>
        </w:rPr>
      </w:pPr>
    </w:p>
    <w:p w14:paraId="05C524FD" w14:textId="77777777" w:rsidR="001B600E" w:rsidRDefault="001B600E" w:rsidP="007768D5">
      <w:pPr>
        <w:ind w:left="567" w:hanging="283"/>
        <w:jc w:val="both"/>
        <w:rPr>
          <w:rFonts w:ascii="Arial Black" w:hAnsi="Arial Black"/>
          <w:b/>
          <w:sz w:val="36"/>
          <w:szCs w:val="36"/>
        </w:rPr>
      </w:pPr>
      <w:r w:rsidRPr="005245A1">
        <w:rPr>
          <w:rFonts w:ascii="Arial Black" w:hAnsi="Arial Black"/>
          <w:b/>
          <w:sz w:val="36"/>
          <w:szCs w:val="36"/>
        </w:rPr>
        <w:t>I-3</w:t>
      </w:r>
      <w:r w:rsidRPr="005245A1">
        <w:rPr>
          <w:rFonts w:ascii="Arial Black" w:hAnsi="Arial Black"/>
          <w:b/>
          <w:sz w:val="36"/>
          <w:szCs w:val="36"/>
        </w:rPr>
        <w:tab/>
        <w:t>Spécificités sur la comptabilisation des créances</w:t>
      </w:r>
    </w:p>
    <w:p w14:paraId="7728B158" w14:textId="77777777" w:rsidR="001B600E" w:rsidRPr="005245A1" w:rsidRDefault="001B600E" w:rsidP="001B600E">
      <w:pPr>
        <w:jc w:val="both"/>
        <w:rPr>
          <w:rFonts w:ascii="Arial Black" w:hAnsi="Arial Black"/>
          <w:b/>
          <w:sz w:val="36"/>
          <w:szCs w:val="36"/>
        </w:rPr>
      </w:pPr>
    </w:p>
    <w:p w14:paraId="6F2884B3" w14:textId="77777777" w:rsidR="001B600E" w:rsidRPr="008668AA" w:rsidRDefault="001B600E" w:rsidP="001B600E">
      <w:pPr>
        <w:jc w:val="both"/>
        <w:rPr>
          <w:rFonts w:ascii="Arial Black" w:hAnsi="Arial Black"/>
          <w:sz w:val="28"/>
          <w:szCs w:val="28"/>
        </w:rPr>
      </w:pPr>
      <w:r w:rsidRPr="008668AA">
        <w:rPr>
          <w:rFonts w:ascii="Arial Black" w:hAnsi="Arial Black"/>
          <w:sz w:val="28"/>
          <w:szCs w:val="28"/>
        </w:rPr>
        <w:t>La comptabilis</w:t>
      </w:r>
      <w:r>
        <w:rPr>
          <w:rFonts w:ascii="Arial Black" w:hAnsi="Arial Black"/>
          <w:sz w:val="28"/>
          <w:szCs w:val="28"/>
        </w:rPr>
        <w:t>ation des créances n’a pas subi</w:t>
      </w:r>
      <w:r w:rsidRPr="008668AA">
        <w:rPr>
          <w:rFonts w:ascii="Arial Black" w:hAnsi="Arial Black"/>
          <w:sz w:val="28"/>
          <w:szCs w:val="28"/>
        </w:rPr>
        <w:t xml:space="preserve"> une modification par rapport à la réglementation en vigueur de 2002.</w:t>
      </w:r>
    </w:p>
    <w:p w14:paraId="0077B5B3" w14:textId="77777777" w:rsidR="001B600E" w:rsidRDefault="001B600E" w:rsidP="001B600E">
      <w:pPr>
        <w:jc w:val="both"/>
        <w:rPr>
          <w:rFonts w:ascii="Arial Black" w:hAnsi="Arial Black"/>
          <w:sz w:val="28"/>
          <w:szCs w:val="28"/>
        </w:rPr>
      </w:pPr>
      <w:r w:rsidRPr="008668AA">
        <w:rPr>
          <w:rFonts w:ascii="Arial Black" w:hAnsi="Arial Black"/>
          <w:sz w:val="28"/>
          <w:szCs w:val="28"/>
        </w:rPr>
        <w:lastRenderedPageBreak/>
        <w:t>Elle doit se faire simplement</w:t>
      </w:r>
      <w:r>
        <w:rPr>
          <w:rFonts w:ascii="Arial Black" w:hAnsi="Arial Black"/>
          <w:sz w:val="28"/>
          <w:szCs w:val="28"/>
        </w:rPr>
        <w:t>,</w:t>
      </w:r>
      <w:r w:rsidRPr="008668AA">
        <w:rPr>
          <w:rFonts w:ascii="Arial Black" w:hAnsi="Arial Black"/>
          <w:sz w:val="28"/>
          <w:szCs w:val="28"/>
        </w:rPr>
        <w:t xml:space="preserve"> conformément aux dispositions d</w:t>
      </w:r>
      <w:r>
        <w:rPr>
          <w:rFonts w:ascii="Arial Black" w:hAnsi="Arial Black"/>
          <w:sz w:val="28"/>
          <w:szCs w:val="28"/>
        </w:rPr>
        <w:t>u</w:t>
      </w:r>
      <w:r w:rsidRPr="008668AA">
        <w:rPr>
          <w:rFonts w:ascii="Arial Black" w:hAnsi="Arial Black"/>
          <w:sz w:val="28"/>
          <w:szCs w:val="28"/>
        </w:rPr>
        <w:t xml:space="preserve"> </w:t>
      </w:r>
      <w:r>
        <w:rPr>
          <w:rFonts w:ascii="Arial Black" w:hAnsi="Arial Black"/>
          <w:sz w:val="28"/>
          <w:szCs w:val="28"/>
        </w:rPr>
        <w:t>PCEMF. Toute</w:t>
      </w:r>
      <w:r w:rsidRPr="008668AA">
        <w:rPr>
          <w:rFonts w:ascii="Arial Black" w:hAnsi="Arial Black"/>
          <w:sz w:val="28"/>
          <w:szCs w:val="28"/>
        </w:rPr>
        <w:t>fois il est désormais précisé que l’apurement des montants impayés constaté doit se faire par ordre d’ancienneté et au fur et à mesure de leur paiement (article 15 alinéa b). L’innovation la plus importante ici est la comptabilisation des créances consolidées.</w:t>
      </w:r>
    </w:p>
    <w:p w14:paraId="3049B556" w14:textId="77777777" w:rsidR="007768D5" w:rsidRPr="008668AA" w:rsidRDefault="007768D5" w:rsidP="001B600E">
      <w:pPr>
        <w:jc w:val="both"/>
        <w:rPr>
          <w:rFonts w:ascii="Arial Black" w:hAnsi="Arial Black"/>
          <w:sz w:val="28"/>
          <w:szCs w:val="28"/>
        </w:rPr>
      </w:pPr>
    </w:p>
    <w:p w14:paraId="0B825272" w14:textId="16BE813B" w:rsidR="001B600E" w:rsidRDefault="001B600E" w:rsidP="001B600E">
      <w:pPr>
        <w:jc w:val="both"/>
        <w:rPr>
          <w:rFonts w:ascii="Arial Black" w:hAnsi="Arial Black"/>
          <w:sz w:val="28"/>
          <w:szCs w:val="28"/>
        </w:rPr>
      </w:pPr>
      <w:r w:rsidRPr="008668AA">
        <w:rPr>
          <w:rFonts w:ascii="Arial Black" w:hAnsi="Arial Black"/>
          <w:sz w:val="28"/>
          <w:szCs w:val="28"/>
        </w:rPr>
        <w:t xml:space="preserve">En </w:t>
      </w:r>
      <w:r w:rsidR="007768D5">
        <w:rPr>
          <w:rFonts w:ascii="Arial Black" w:hAnsi="Arial Black"/>
          <w:sz w:val="28"/>
          <w:szCs w:val="28"/>
        </w:rPr>
        <w:t xml:space="preserve">effet, sous réserve du respect </w:t>
      </w:r>
      <w:r w:rsidRPr="008668AA">
        <w:rPr>
          <w:rFonts w:ascii="Arial Black" w:hAnsi="Arial Black"/>
          <w:sz w:val="28"/>
          <w:szCs w:val="28"/>
        </w:rPr>
        <w:t xml:space="preserve">de l’article </w:t>
      </w:r>
      <w:proofErr w:type="gramStart"/>
      <w:r w:rsidRPr="008668AA">
        <w:rPr>
          <w:rFonts w:ascii="Arial Black" w:hAnsi="Arial Black"/>
          <w:sz w:val="28"/>
          <w:szCs w:val="28"/>
        </w:rPr>
        <w:t>14  du</w:t>
      </w:r>
      <w:proofErr w:type="gramEnd"/>
      <w:r w:rsidRPr="008668AA">
        <w:rPr>
          <w:rFonts w:ascii="Arial Black" w:hAnsi="Arial Black"/>
          <w:sz w:val="28"/>
          <w:szCs w:val="28"/>
        </w:rPr>
        <w:t xml:space="preserve"> présent règlement les montants consolidés sont suivis en fonction de la durée de la consolidation dans les comptes principaux « crédit long terme, crédit à moyen terme et crédit à court terme » au sein des compte</w:t>
      </w:r>
      <w:r>
        <w:rPr>
          <w:rFonts w:ascii="Arial Black" w:hAnsi="Arial Black"/>
          <w:sz w:val="28"/>
          <w:szCs w:val="28"/>
        </w:rPr>
        <w:t>s</w:t>
      </w:r>
      <w:r w:rsidRPr="008668AA">
        <w:rPr>
          <w:rFonts w:ascii="Arial Black" w:hAnsi="Arial Black"/>
          <w:sz w:val="28"/>
          <w:szCs w:val="28"/>
        </w:rPr>
        <w:t xml:space="preserve"> divisionnaire</w:t>
      </w:r>
      <w:r>
        <w:rPr>
          <w:rFonts w:ascii="Arial Black" w:hAnsi="Arial Black"/>
          <w:sz w:val="28"/>
          <w:szCs w:val="28"/>
        </w:rPr>
        <w:t>s</w:t>
      </w:r>
      <w:r w:rsidRPr="008668AA">
        <w:rPr>
          <w:rFonts w:ascii="Arial Black" w:hAnsi="Arial Black"/>
          <w:sz w:val="28"/>
          <w:szCs w:val="28"/>
        </w:rPr>
        <w:t xml:space="preserve"> « crédit </w:t>
      </w:r>
      <w:proofErr w:type="spellStart"/>
      <w:r>
        <w:rPr>
          <w:rFonts w:ascii="Arial Black" w:hAnsi="Arial Black"/>
          <w:sz w:val="28"/>
          <w:szCs w:val="28"/>
        </w:rPr>
        <w:t>moratorié</w:t>
      </w:r>
      <w:proofErr w:type="spellEnd"/>
      <w:r>
        <w:rPr>
          <w:rFonts w:ascii="Arial Black" w:hAnsi="Arial Black"/>
          <w:sz w:val="28"/>
          <w:szCs w:val="28"/>
        </w:rPr>
        <w:t xml:space="preserve"> ou</w:t>
      </w:r>
      <w:r w:rsidRPr="008668AA">
        <w:rPr>
          <w:rFonts w:ascii="Arial Black" w:hAnsi="Arial Black"/>
          <w:sz w:val="28"/>
          <w:szCs w:val="28"/>
        </w:rPr>
        <w:t xml:space="preserve"> consolidé sur l’Etat, en ce qui concerne l’Etat</w:t>
      </w:r>
      <w:r>
        <w:rPr>
          <w:rFonts w:ascii="Arial Black" w:hAnsi="Arial Black"/>
          <w:sz w:val="28"/>
          <w:szCs w:val="28"/>
        </w:rPr>
        <w:t xml:space="preserve"> et « crédit non </w:t>
      </w:r>
      <w:proofErr w:type="spellStart"/>
      <w:r>
        <w:rPr>
          <w:rFonts w:ascii="Arial Black" w:hAnsi="Arial Black"/>
          <w:sz w:val="28"/>
          <w:szCs w:val="28"/>
        </w:rPr>
        <w:t>ventilables</w:t>
      </w:r>
      <w:proofErr w:type="spellEnd"/>
      <w:r>
        <w:rPr>
          <w:rFonts w:ascii="Arial Black" w:hAnsi="Arial Black"/>
          <w:sz w:val="28"/>
          <w:szCs w:val="28"/>
        </w:rPr>
        <w:t xml:space="preserve"> pour les autres clients. (article15g)</w:t>
      </w:r>
    </w:p>
    <w:p w14:paraId="21A19EA8" w14:textId="0C3A4288" w:rsidR="001B600E" w:rsidRDefault="001B600E" w:rsidP="001B600E">
      <w:pPr>
        <w:jc w:val="both"/>
        <w:rPr>
          <w:rFonts w:ascii="Arial" w:hAnsi="Arial" w:cs="Arial"/>
          <w:sz w:val="36"/>
          <w:szCs w:val="36"/>
        </w:rPr>
      </w:pPr>
      <w:r w:rsidRPr="00751384">
        <w:rPr>
          <w:rFonts w:ascii="Arial Black" w:hAnsi="Arial Black"/>
          <w:sz w:val="36"/>
          <w:szCs w:val="36"/>
          <w:u w:val="single"/>
        </w:rPr>
        <w:t>NB</w:t>
      </w:r>
      <w:r w:rsidRPr="008668AA">
        <w:rPr>
          <w:rFonts w:ascii="Arial Black" w:hAnsi="Arial Black"/>
          <w:sz w:val="28"/>
          <w:szCs w:val="28"/>
        </w:rPr>
        <w:t xml:space="preserve"> : </w:t>
      </w:r>
      <w:r w:rsidRPr="00751384">
        <w:rPr>
          <w:rFonts w:ascii="Arial" w:hAnsi="Arial" w:cs="Arial"/>
          <w:sz w:val="36"/>
          <w:szCs w:val="36"/>
        </w:rPr>
        <w:t xml:space="preserve">les crédits non </w:t>
      </w:r>
      <w:proofErr w:type="spellStart"/>
      <w:r w:rsidRPr="00751384">
        <w:rPr>
          <w:rFonts w:ascii="Arial" w:hAnsi="Arial" w:cs="Arial"/>
          <w:sz w:val="36"/>
          <w:szCs w:val="36"/>
        </w:rPr>
        <w:t>ventilables</w:t>
      </w:r>
      <w:proofErr w:type="spellEnd"/>
      <w:r w:rsidRPr="00751384">
        <w:rPr>
          <w:rFonts w:ascii="Arial" w:hAnsi="Arial" w:cs="Arial"/>
          <w:sz w:val="36"/>
          <w:szCs w:val="36"/>
        </w:rPr>
        <w:t xml:space="preserve"> sont les encours échus et demeurés impayés à l’éché</w:t>
      </w:r>
      <w:r w:rsidR="007768D5">
        <w:rPr>
          <w:rFonts w:ascii="Arial" w:hAnsi="Arial" w:cs="Arial"/>
          <w:sz w:val="36"/>
          <w:szCs w:val="36"/>
        </w:rPr>
        <w:t xml:space="preserve">ance, mais qui par la suite de </w:t>
      </w:r>
      <w:r w:rsidRPr="00751384">
        <w:rPr>
          <w:rFonts w:ascii="Arial" w:hAnsi="Arial" w:cs="Arial"/>
          <w:sz w:val="36"/>
          <w:szCs w:val="36"/>
        </w:rPr>
        <w:t>conclusion d’accord de règlement amiable avec les clients ont fait l’objet d’une consolidation.</w:t>
      </w:r>
    </w:p>
    <w:p w14:paraId="50505DB2" w14:textId="77777777" w:rsidR="001B600E" w:rsidRPr="00751384" w:rsidRDefault="001B600E" w:rsidP="001B600E">
      <w:pPr>
        <w:jc w:val="both"/>
        <w:rPr>
          <w:rFonts w:ascii="Arial" w:hAnsi="Arial" w:cs="Arial"/>
          <w:sz w:val="36"/>
          <w:szCs w:val="36"/>
        </w:rPr>
      </w:pPr>
    </w:p>
    <w:p w14:paraId="362762DF" w14:textId="257077DF" w:rsidR="001B600E" w:rsidRDefault="001B600E" w:rsidP="001B600E">
      <w:pPr>
        <w:jc w:val="both"/>
        <w:rPr>
          <w:rFonts w:ascii="Arial Black" w:hAnsi="Arial Black"/>
          <w:b/>
          <w:sz w:val="36"/>
          <w:szCs w:val="36"/>
        </w:rPr>
      </w:pPr>
      <w:r w:rsidRPr="00751384">
        <w:rPr>
          <w:rFonts w:ascii="Arial Black" w:hAnsi="Arial Black"/>
          <w:b/>
          <w:sz w:val="36"/>
          <w:szCs w:val="36"/>
        </w:rPr>
        <w:t>I-3</w:t>
      </w:r>
      <w:r w:rsidRPr="00751384">
        <w:rPr>
          <w:rFonts w:ascii="Arial Black" w:hAnsi="Arial Black"/>
          <w:b/>
          <w:sz w:val="36"/>
          <w:szCs w:val="36"/>
        </w:rPr>
        <w:tab/>
        <w:t>Spécificités sur les créances restructurées</w:t>
      </w:r>
    </w:p>
    <w:p w14:paraId="2008E812" w14:textId="77777777" w:rsidR="001B600E" w:rsidRPr="00751384" w:rsidRDefault="001B600E" w:rsidP="001B600E">
      <w:pPr>
        <w:jc w:val="both"/>
        <w:rPr>
          <w:rFonts w:ascii="Arial Black" w:hAnsi="Arial Black"/>
          <w:b/>
          <w:sz w:val="36"/>
          <w:szCs w:val="36"/>
        </w:rPr>
      </w:pPr>
    </w:p>
    <w:p w14:paraId="10BBB2F7" w14:textId="385B1484" w:rsidR="001B600E" w:rsidRDefault="001B600E" w:rsidP="001B600E">
      <w:pPr>
        <w:jc w:val="both"/>
        <w:rPr>
          <w:rFonts w:ascii="Arial Black" w:hAnsi="Arial Black"/>
          <w:sz w:val="28"/>
          <w:szCs w:val="28"/>
        </w:rPr>
      </w:pPr>
      <w:r w:rsidRPr="008668AA">
        <w:rPr>
          <w:rFonts w:ascii="Arial Black" w:hAnsi="Arial Black"/>
          <w:sz w:val="28"/>
          <w:szCs w:val="28"/>
        </w:rPr>
        <w:t xml:space="preserve">Le traitement des créances restructurées est l’une des innovations de la présente réforme, qui lui en a consacré tout un chapitre. Le règlement R-2017/07 </w:t>
      </w:r>
      <w:proofErr w:type="gramStart"/>
      <w:r w:rsidRPr="008668AA">
        <w:rPr>
          <w:rFonts w:ascii="Arial Black" w:hAnsi="Arial Black"/>
          <w:sz w:val="28"/>
          <w:szCs w:val="28"/>
        </w:rPr>
        <w:t>donne  expressément</w:t>
      </w:r>
      <w:proofErr w:type="gramEnd"/>
      <w:r w:rsidRPr="008668AA">
        <w:rPr>
          <w:rFonts w:ascii="Arial Black" w:hAnsi="Arial Black"/>
          <w:sz w:val="28"/>
          <w:szCs w:val="28"/>
        </w:rPr>
        <w:t xml:space="preserve"> la possibilité aux EMF  de convenir de nouvelles modalités de remboursement avec les clients ou les sociétaires conformément aux modalités définies dans les articles 13 et 14. A</w:t>
      </w:r>
      <w:r>
        <w:rPr>
          <w:rFonts w:ascii="Arial Black" w:hAnsi="Arial Black"/>
          <w:sz w:val="28"/>
          <w:szCs w:val="28"/>
        </w:rPr>
        <w:t xml:space="preserve"> juste titre</w:t>
      </w:r>
      <w:r w:rsidRPr="008668AA">
        <w:rPr>
          <w:rFonts w:ascii="Arial Black" w:hAnsi="Arial Black"/>
          <w:sz w:val="28"/>
          <w:szCs w:val="28"/>
        </w:rPr>
        <w:t xml:space="preserve"> les points saillants ci-après sont à bien noter</w:t>
      </w:r>
      <w:r w:rsidR="007768D5">
        <w:rPr>
          <w:rFonts w:ascii="Arial Black" w:hAnsi="Arial Black"/>
          <w:sz w:val="28"/>
          <w:szCs w:val="28"/>
        </w:rPr>
        <w:t>.</w:t>
      </w:r>
    </w:p>
    <w:p w14:paraId="32170657" w14:textId="77777777" w:rsidR="007768D5" w:rsidRPr="008668AA" w:rsidRDefault="007768D5" w:rsidP="001B600E">
      <w:pPr>
        <w:jc w:val="both"/>
        <w:rPr>
          <w:rFonts w:ascii="Arial Black" w:hAnsi="Arial Black"/>
          <w:sz w:val="28"/>
          <w:szCs w:val="28"/>
        </w:rPr>
      </w:pPr>
    </w:p>
    <w:p w14:paraId="0BCD5898" w14:textId="77777777" w:rsidR="001B600E" w:rsidRDefault="001B600E" w:rsidP="007768D5">
      <w:pPr>
        <w:pStyle w:val="Paragraphedeliste"/>
        <w:numPr>
          <w:ilvl w:val="0"/>
          <w:numId w:val="21"/>
        </w:numPr>
        <w:spacing w:after="200" w:line="276" w:lineRule="auto"/>
        <w:ind w:left="567" w:hanging="283"/>
        <w:jc w:val="both"/>
        <w:rPr>
          <w:rFonts w:ascii="Arial Black" w:hAnsi="Arial Black"/>
          <w:sz w:val="28"/>
          <w:szCs w:val="28"/>
        </w:rPr>
      </w:pPr>
      <w:proofErr w:type="gramStart"/>
      <w:r w:rsidRPr="008668AA">
        <w:rPr>
          <w:rFonts w:ascii="Arial Black" w:hAnsi="Arial Black"/>
          <w:sz w:val="28"/>
          <w:szCs w:val="28"/>
        </w:rPr>
        <w:t>A  l’exception</w:t>
      </w:r>
      <w:proofErr w:type="gramEnd"/>
      <w:r w:rsidRPr="008668AA">
        <w:rPr>
          <w:rFonts w:ascii="Arial Black" w:hAnsi="Arial Black"/>
          <w:sz w:val="28"/>
          <w:szCs w:val="28"/>
        </w:rPr>
        <w:t xml:space="preserve"> du conseil d’administration, l’organe qui autorise la restructuration et ou le rééchelonnement d’une créance doit se situer à une position hiérarchique </w:t>
      </w:r>
      <w:r w:rsidRPr="008668AA">
        <w:rPr>
          <w:rFonts w:ascii="Arial Black" w:hAnsi="Arial Black"/>
          <w:sz w:val="28"/>
          <w:szCs w:val="28"/>
        </w:rPr>
        <w:lastRenderedPageBreak/>
        <w:t xml:space="preserve">supérieure à celle de la personne ou l’instance qui a initialement </w:t>
      </w:r>
      <w:r>
        <w:rPr>
          <w:rFonts w:ascii="Arial Black" w:hAnsi="Arial Black"/>
          <w:sz w:val="28"/>
          <w:szCs w:val="28"/>
        </w:rPr>
        <w:t>autorisé</w:t>
      </w:r>
      <w:r w:rsidRPr="008668AA">
        <w:rPr>
          <w:rFonts w:ascii="Arial Black" w:hAnsi="Arial Black"/>
          <w:sz w:val="28"/>
          <w:szCs w:val="28"/>
        </w:rPr>
        <w:t xml:space="preserve"> le crédit.</w:t>
      </w:r>
    </w:p>
    <w:p w14:paraId="5FCC6ECC" w14:textId="77777777" w:rsidR="001B600E" w:rsidRPr="008668AA" w:rsidRDefault="001B600E" w:rsidP="001B600E">
      <w:pPr>
        <w:pStyle w:val="Paragraphedeliste"/>
        <w:jc w:val="both"/>
        <w:rPr>
          <w:rFonts w:ascii="Arial Black" w:hAnsi="Arial Black"/>
          <w:sz w:val="28"/>
          <w:szCs w:val="28"/>
        </w:rPr>
      </w:pPr>
    </w:p>
    <w:p w14:paraId="40C36F10" w14:textId="77777777" w:rsidR="001B600E" w:rsidRDefault="001B600E" w:rsidP="007768D5">
      <w:pPr>
        <w:pStyle w:val="Paragraphedeliste"/>
        <w:numPr>
          <w:ilvl w:val="0"/>
          <w:numId w:val="21"/>
        </w:numPr>
        <w:spacing w:after="200" w:line="276" w:lineRule="auto"/>
        <w:ind w:left="567" w:hanging="283"/>
        <w:jc w:val="both"/>
        <w:rPr>
          <w:rFonts w:ascii="Arial Black" w:hAnsi="Arial Black"/>
          <w:sz w:val="28"/>
          <w:szCs w:val="28"/>
        </w:rPr>
      </w:pPr>
      <w:r>
        <w:rPr>
          <w:rFonts w:ascii="Arial Black" w:hAnsi="Arial Black"/>
          <w:sz w:val="28"/>
          <w:szCs w:val="28"/>
        </w:rPr>
        <w:t>L</w:t>
      </w:r>
      <w:r w:rsidRPr="008668AA">
        <w:rPr>
          <w:rFonts w:ascii="Arial Black" w:hAnsi="Arial Black"/>
          <w:sz w:val="28"/>
          <w:szCs w:val="28"/>
        </w:rPr>
        <w:t>e reclassement d’une créance en souffrance restructurée ou rééchelonnée dans les encoure sa</w:t>
      </w:r>
      <w:r>
        <w:rPr>
          <w:rFonts w:ascii="Arial Black" w:hAnsi="Arial Black"/>
          <w:sz w:val="28"/>
          <w:szCs w:val="28"/>
        </w:rPr>
        <w:t>i</w:t>
      </w:r>
      <w:r w:rsidRPr="008668AA">
        <w:rPr>
          <w:rFonts w:ascii="Arial Black" w:hAnsi="Arial Black"/>
          <w:sz w:val="28"/>
          <w:szCs w:val="28"/>
        </w:rPr>
        <w:t xml:space="preserve">ns ne peut intervenir que si : </w:t>
      </w:r>
    </w:p>
    <w:p w14:paraId="24888252" w14:textId="77777777" w:rsidR="001B600E" w:rsidRPr="008668AA" w:rsidRDefault="001B600E" w:rsidP="001B600E">
      <w:pPr>
        <w:pStyle w:val="Paragraphedeliste"/>
        <w:jc w:val="both"/>
        <w:rPr>
          <w:rFonts w:ascii="Arial Black" w:hAnsi="Arial Black"/>
          <w:sz w:val="28"/>
          <w:szCs w:val="28"/>
        </w:rPr>
      </w:pPr>
    </w:p>
    <w:p w14:paraId="23FC3E89" w14:textId="388B5EE6" w:rsidR="001B600E" w:rsidRPr="008668AA" w:rsidRDefault="007768D5" w:rsidP="007768D5">
      <w:pPr>
        <w:pStyle w:val="Paragraphedeliste"/>
        <w:numPr>
          <w:ilvl w:val="0"/>
          <w:numId w:val="22"/>
        </w:numPr>
        <w:spacing w:after="200" w:line="276" w:lineRule="auto"/>
        <w:ind w:left="851" w:hanging="284"/>
        <w:jc w:val="both"/>
        <w:rPr>
          <w:rFonts w:ascii="Arial Black" w:hAnsi="Arial Black"/>
          <w:sz w:val="28"/>
          <w:szCs w:val="28"/>
        </w:rPr>
      </w:pPr>
      <w:r>
        <w:rPr>
          <w:rFonts w:ascii="Arial Black" w:hAnsi="Arial Black"/>
          <w:sz w:val="28"/>
          <w:szCs w:val="28"/>
        </w:rPr>
        <w:t>La contre</w:t>
      </w:r>
      <w:r w:rsidR="001B600E" w:rsidRPr="008668AA">
        <w:rPr>
          <w:rFonts w:ascii="Arial Black" w:hAnsi="Arial Black"/>
          <w:sz w:val="28"/>
          <w:szCs w:val="28"/>
        </w:rPr>
        <w:t>partie procède à un remboursement égal au moi</w:t>
      </w:r>
      <w:r w:rsidR="001B600E">
        <w:rPr>
          <w:rFonts w:ascii="Arial Black" w:hAnsi="Arial Black"/>
          <w:sz w:val="28"/>
          <w:szCs w:val="28"/>
        </w:rPr>
        <w:t>n</w:t>
      </w:r>
      <w:r w:rsidR="001B600E" w:rsidRPr="008668AA">
        <w:rPr>
          <w:rFonts w:ascii="Arial Black" w:hAnsi="Arial Black"/>
          <w:sz w:val="28"/>
          <w:szCs w:val="28"/>
        </w:rPr>
        <w:t>s au montant le plus élevé entre les 20% de la créance arrêté après négociation et le total des intérêts arriérés inclus dans les créances initiales.</w:t>
      </w:r>
    </w:p>
    <w:p w14:paraId="1EF7D0D5" w14:textId="77777777" w:rsidR="001B600E" w:rsidRDefault="001B600E" w:rsidP="007768D5">
      <w:pPr>
        <w:pStyle w:val="Paragraphedeliste"/>
        <w:numPr>
          <w:ilvl w:val="0"/>
          <w:numId w:val="22"/>
        </w:numPr>
        <w:spacing w:after="200" w:line="276" w:lineRule="auto"/>
        <w:ind w:left="851" w:hanging="284"/>
        <w:jc w:val="both"/>
        <w:rPr>
          <w:rFonts w:ascii="Arial Black" w:hAnsi="Arial Black"/>
          <w:sz w:val="28"/>
          <w:szCs w:val="28"/>
        </w:rPr>
      </w:pPr>
      <w:r w:rsidRPr="008668AA">
        <w:rPr>
          <w:rFonts w:ascii="Arial Black" w:hAnsi="Arial Black"/>
          <w:sz w:val="28"/>
          <w:szCs w:val="28"/>
        </w:rPr>
        <w:t>Le remboursement est financé sur fond</w:t>
      </w:r>
      <w:r>
        <w:rPr>
          <w:rFonts w:ascii="Arial Black" w:hAnsi="Arial Black"/>
          <w:sz w:val="28"/>
          <w:szCs w:val="28"/>
        </w:rPr>
        <w:t>s propre de la contre</w:t>
      </w:r>
      <w:r w:rsidRPr="008668AA">
        <w:rPr>
          <w:rFonts w:ascii="Arial Black" w:hAnsi="Arial Black"/>
          <w:sz w:val="28"/>
          <w:szCs w:val="28"/>
        </w:rPr>
        <w:t>partie. Il ne doit pas faire l’objet d’un financement direct de l’Etablissement, ni d’une personne liée considérée comme un même bénéficiaire selon l’article 7 du 20</w:t>
      </w:r>
      <w:r>
        <w:rPr>
          <w:rFonts w:ascii="Arial Black" w:hAnsi="Arial Black"/>
          <w:sz w:val="28"/>
          <w:szCs w:val="28"/>
        </w:rPr>
        <w:t>02/08</w:t>
      </w:r>
    </w:p>
    <w:p w14:paraId="241344A9" w14:textId="77777777" w:rsidR="001B600E" w:rsidRPr="008668AA" w:rsidRDefault="001B600E" w:rsidP="007768D5">
      <w:pPr>
        <w:pStyle w:val="Paragraphedeliste"/>
        <w:ind w:left="851" w:hanging="284"/>
        <w:jc w:val="both"/>
        <w:rPr>
          <w:rFonts w:ascii="Arial Black" w:hAnsi="Arial Black"/>
          <w:sz w:val="28"/>
          <w:szCs w:val="28"/>
        </w:rPr>
      </w:pPr>
    </w:p>
    <w:p w14:paraId="123DD39A" w14:textId="77777777" w:rsidR="001B600E" w:rsidRDefault="001B600E" w:rsidP="007768D5">
      <w:pPr>
        <w:pStyle w:val="Paragraphedeliste"/>
        <w:numPr>
          <w:ilvl w:val="0"/>
          <w:numId w:val="22"/>
        </w:numPr>
        <w:spacing w:after="200" w:line="276" w:lineRule="auto"/>
        <w:ind w:left="851" w:hanging="284"/>
        <w:jc w:val="both"/>
        <w:rPr>
          <w:rFonts w:ascii="Arial Black" w:hAnsi="Arial Black"/>
          <w:sz w:val="28"/>
          <w:szCs w:val="28"/>
        </w:rPr>
      </w:pPr>
      <w:r w:rsidRPr="008668AA">
        <w:rPr>
          <w:rFonts w:ascii="Arial Black" w:hAnsi="Arial Black"/>
          <w:sz w:val="28"/>
          <w:szCs w:val="28"/>
        </w:rPr>
        <w:t xml:space="preserve">Si le client ou la sociétaire ne </w:t>
      </w:r>
      <w:r>
        <w:rPr>
          <w:rFonts w:ascii="Arial Black" w:hAnsi="Arial Black"/>
          <w:sz w:val="28"/>
          <w:szCs w:val="28"/>
        </w:rPr>
        <w:t>remplit pas les conditions ci-dessus,</w:t>
      </w:r>
      <w:r w:rsidRPr="008668AA">
        <w:rPr>
          <w:rFonts w:ascii="Arial Black" w:hAnsi="Arial Black"/>
          <w:sz w:val="28"/>
          <w:szCs w:val="28"/>
        </w:rPr>
        <w:t xml:space="preserve"> la créance est maintenu</w:t>
      </w:r>
      <w:r>
        <w:rPr>
          <w:rFonts w:ascii="Arial Black" w:hAnsi="Arial Black"/>
          <w:sz w:val="28"/>
          <w:szCs w:val="28"/>
        </w:rPr>
        <w:t>e</w:t>
      </w:r>
      <w:r w:rsidRPr="008668AA">
        <w:rPr>
          <w:rFonts w:ascii="Arial Black" w:hAnsi="Arial Black"/>
          <w:sz w:val="28"/>
          <w:szCs w:val="28"/>
        </w:rPr>
        <w:t xml:space="preserve"> dans sa catégorie pendant 90 jours, à </w:t>
      </w:r>
      <w:proofErr w:type="spellStart"/>
      <w:r w:rsidRPr="008668AA">
        <w:rPr>
          <w:rFonts w:ascii="Arial Black" w:hAnsi="Arial Black"/>
          <w:sz w:val="28"/>
          <w:szCs w:val="28"/>
        </w:rPr>
        <w:t>compté</w:t>
      </w:r>
      <w:proofErr w:type="spellEnd"/>
      <w:r w:rsidRPr="008668AA">
        <w:rPr>
          <w:rFonts w:ascii="Arial Black" w:hAnsi="Arial Black"/>
          <w:sz w:val="28"/>
          <w:szCs w:val="28"/>
        </w:rPr>
        <w:t xml:space="preserve"> de la première échéance du crédit de consolidation. Son reclassement dans les créances saines ne peut intervenir qu’au terme de cette période probatoire, sous réserve qu’aucun impayé ne soit enregistré au cours de la période</w:t>
      </w:r>
    </w:p>
    <w:p w14:paraId="68EB6401" w14:textId="77777777" w:rsidR="001B600E" w:rsidRPr="008668AA" w:rsidRDefault="001B600E" w:rsidP="007768D5">
      <w:pPr>
        <w:pStyle w:val="Paragraphedeliste"/>
        <w:ind w:left="851" w:hanging="284"/>
        <w:jc w:val="both"/>
        <w:rPr>
          <w:rFonts w:ascii="Arial Black" w:hAnsi="Arial Black"/>
          <w:sz w:val="28"/>
          <w:szCs w:val="28"/>
        </w:rPr>
      </w:pPr>
    </w:p>
    <w:p w14:paraId="296868E2" w14:textId="77777777" w:rsidR="001B600E" w:rsidRPr="008668AA" w:rsidRDefault="001B600E" w:rsidP="007768D5">
      <w:pPr>
        <w:pStyle w:val="Paragraphedeliste"/>
        <w:numPr>
          <w:ilvl w:val="0"/>
          <w:numId w:val="22"/>
        </w:numPr>
        <w:spacing w:after="200" w:line="276" w:lineRule="auto"/>
        <w:ind w:left="851" w:hanging="284"/>
        <w:jc w:val="both"/>
        <w:rPr>
          <w:rFonts w:ascii="Arial Black" w:hAnsi="Arial Black"/>
          <w:sz w:val="28"/>
          <w:szCs w:val="28"/>
        </w:rPr>
      </w:pPr>
      <w:r w:rsidRPr="008668AA">
        <w:rPr>
          <w:rFonts w:ascii="Arial Black" w:hAnsi="Arial Black"/>
          <w:sz w:val="28"/>
          <w:szCs w:val="28"/>
        </w:rPr>
        <w:t xml:space="preserve">En dehors de créances immobilisées, </w:t>
      </w:r>
      <w:r>
        <w:rPr>
          <w:rFonts w:ascii="Arial Black" w:hAnsi="Arial Black"/>
          <w:sz w:val="28"/>
          <w:szCs w:val="28"/>
        </w:rPr>
        <w:t>toute échéance impayée</w:t>
      </w:r>
      <w:r w:rsidRPr="008668AA">
        <w:rPr>
          <w:rFonts w:ascii="Arial Black" w:hAnsi="Arial Black"/>
          <w:sz w:val="28"/>
          <w:szCs w:val="28"/>
        </w:rPr>
        <w:t xml:space="preserve"> pendant la période probatoire entraine le déclassement automatique de l’en</w:t>
      </w:r>
      <w:r>
        <w:rPr>
          <w:rFonts w:ascii="Arial Black" w:hAnsi="Arial Black"/>
          <w:sz w:val="28"/>
          <w:szCs w:val="28"/>
        </w:rPr>
        <w:t>cours de la créance restructurée</w:t>
      </w:r>
      <w:r w:rsidRPr="008668AA">
        <w:rPr>
          <w:rFonts w:ascii="Arial Black" w:hAnsi="Arial Black"/>
          <w:sz w:val="28"/>
          <w:szCs w:val="28"/>
        </w:rPr>
        <w:t xml:space="preserve"> ou rééchelonnée en créance douteuse et par conséquent entièrement provisionnée.</w:t>
      </w:r>
    </w:p>
    <w:p w14:paraId="258C7CDF" w14:textId="77777777" w:rsidR="001B600E" w:rsidRDefault="001B600E" w:rsidP="001B600E">
      <w:pPr>
        <w:ind w:left="1080"/>
        <w:jc w:val="both"/>
        <w:rPr>
          <w:rFonts w:ascii="Arial Black" w:hAnsi="Arial Black"/>
          <w:sz w:val="28"/>
          <w:szCs w:val="28"/>
        </w:rPr>
      </w:pPr>
      <w:r w:rsidRPr="009F5BD1">
        <w:rPr>
          <w:rFonts w:ascii="Arial Black" w:hAnsi="Arial Black"/>
          <w:sz w:val="28"/>
          <w:szCs w:val="28"/>
        </w:rPr>
        <w:lastRenderedPageBreak/>
        <w:t xml:space="preserve">Au total, </w:t>
      </w:r>
      <w:r>
        <w:rPr>
          <w:rFonts w:ascii="Arial Black" w:hAnsi="Arial Black"/>
          <w:sz w:val="28"/>
          <w:szCs w:val="28"/>
        </w:rPr>
        <w:t xml:space="preserve">nous relevons que </w:t>
      </w:r>
      <w:r w:rsidRPr="009F5BD1">
        <w:rPr>
          <w:rFonts w:ascii="Arial Black" w:hAnsi="Arial Black"/>
          <w:sz w:val="28"/>
          <w:szCs w:val="28"/>
        </w:rPr>
        <w:t xml:space="preserve">les restructurations et </w:t>
      </w:r>
      <w:r>
        <w:rPr>
          <w:rFonts w:ascii="Arial Black" w:hAnsi="Arial Black"/>
          <w:sz w:val="28"/>
          <w:szCs w:val="28"/>
        </w:rPr>
        <w:t xml:space="preserve">les </w:t>
      </w:r>
      <w:r w:rsidRPr="009F5BD1">
        <w:rPr>
          <w:rFonts w:ascii="Arial Black" w:hAnsi="Arial Black"/>
          <w:sz w:val="28"/>
          <w:szCs w:val="28"/>
        </w:rPr>
        <w:t>rééchelonnements fantaisiste</w:t>
      </w:r>
      <w:r>
        <w:rPr>
          <w:rFonts w:ascii="Arial Black" w:hAnsi="Arial Black"/>
          <w:sz w:val="28"/>
          <w:szCs w:val="28"/>
        </w:rPr>
        <w:t>s</w:t>
      </w:r>
      <w:r w:rsidRPr="009F5BD1">
        <w:rPr>
          <w:rFonts w:ascii="Arial Black" w:hAnsi="Arial Black"/>
          <w:sz w:val="28"/>
          <w:szCs w:val="28"/>
        </w:rPr>
        <w:t xml:space="preserve"> sont fortement </w:t>
      </w:r>
      <w:r>
        <w:rPr>
          <w:rFonts w:ascii="Arial Black" w:hAnsi="Arial Black"/>
          <w:sz w:val="28"/>
          <w:szCs w:val="28"/>
        </w:rPr>
        <w:t xml:space="preserve">prohibés au regard des conséquences néfastes qu’ils peuvent engendrés (épidémie d’insolvabilité, crise de liquidité, atteinte à la pérennité de l’EMF etc.). </w:t>
      </w:r>
    </w:p>
    <w:p w14:paraId="199F3787" w14:textId="77777777" w:rsidR="001B600E" w:rsidRPr="009F5BD1" w:rsidRDefault="001B600E" w:rsidP="001B600E">
      <w:pPr>
        <w:ind w:left="1080"/>
        <w:jc w:val="both"/>
        <w:rPr>
          <w:rFonts w:ascii="Arial Black" w:hAnsi="Arial Black"/>
          <w:sz w:val="28"/>
          <w:szCs w:val="28"/>
        </w:rPr>
      </w:pPr>
    </w:p>
    <w:p w14:paraId="0C21F895" w14:textId="77777777" w:rsidR="001B600E" w:rsidRDefault="001B600E" w:rsidP="007768D5">
      <w:pPr>
        <w:ind w:left="567" w:hanging="284"/>
        <w:jc w:val="both"/>
        <w:rPr>
          <w:rFonts w:ascii="Arial Black" w:hAnsi="Arial Black"/>
          <w:b/>
          <w:sz w:val="32"/>
          <w:szCs w:val="32"/>
        </w:rPr>
      </w:pPr>
      <w:r w:rsidRPr="009F5BD1">
        <w:rPr>
          <w:rFonts w:ascii="Arial Black" w:hAnsi="Arial Black"/>
          <w:b/>
          <w:sz w:val="32"/>
          <w:szCs w:val="32"/>
        </w:rPr>
        <w:t>I-4</w:t>
      </w:r>
      <w:r w:rsidRPr="009F5BD1">
        <w:rPr>
          <w:rFonts w:ascii="Arial Black" w:hAnsi="Arial Black"/>
          <w:b/>
          <w:sz w:val="32"/>
          <w:szCs w:val="32"/>
        </w:rPr>
        <w:tab/>
        <w:t>Spécificités sur le provisionnement des créances et les garanties admises</w:t>
      </w:r>
    </w:p>
    <w:p w14:paraId="0E4A2AFF" w14:textId="77777777" w:rsidR="001B600E" w:rsidRPr="009F5BD1" w:rsidRDefault="001B600E" w:rsidP="001B600E">
      <w:pPr>
        <w:jc w:val="both"/>
        <w:rPr>
          <w:rFonts w:ascii="Arial Black" w:hAnsi="Arial Black"/>
          <w:b/>
          <w:sz w:val="32"/>
          <w:szCs w:val="32"/>
        </w:rPr>
      </w:pPr>
    </w:p>
    <w:p w14:paraId="4E603B53" w14:textId="55C47B24" w:rsidR="001B600E" w:rsidRDefault="001B600E" w:rsidP="001B600E">
      <w:pPr>
        <w:jc w:val="both"/>
        <w:rPr>
          <w:rFonts w:ascii="Arial Black" w:hAnsi="Arial Black"/>
          <w:sz w:val="28"/>
          <w:szCs w:val="28"/>
        </w:rPr>
      </w:pPr>
      <w:r>
        <w:rPr>
          <w:rFonts w:ascii="Arial Black" w:hAnsi="Arial Black"/>
          <w:sz w:val="28"/>
          <w:szCs w:val="28"/>
        </w:rPr>
        <w:t>Le règlement COBAC EMF R-</w:t>
      </w:r>
      <w:r w:rsidRPr="008668AA">
        <w:rPr>
          <w:rFonts w:ascii="Arial Black" w:hAnsi="Arial Black"/>
          <w:sz w:val="28"/>
          <w:szCs w:val="28"/>
        </w:rPr>
        <w:t>2017/</w:t>
      </w:r>
      <w:proofErr w:type="gramStart"/>
      <w:r w:rsidRPr="008668AA">
        <w:rPr>
          <w:rFonts w:ascii="Arial Black" w:hAnsi="Arial Black"/>
          <w:sz w:val="28"/>
          <w:szCs w:val="28"/>
        </w:rPr>
        <w:t xml:space="preserve">07  </w:t>
      </w:r>
      <w:r>
        <w:rPr>
          <w:rFonts w:ascii="Arial Black" w:hAnsi="Arial Black"/>
          <w:sz w:val="28"/>
          <w:szCs w:val="28"/>
        </w:rPr>
        <w:t>prévoi</w:t>
      </w:r>
      <w:r w:rsidRPr="008668AA">
        <w:rPr>
          <w:rFonts w:ascii="Arial Black" w:hAnsi="Arial Black"/>
          <w:sz w:val="28"/>
          <w:szCs w:val="28"/>
        </w:rPr>
        <w:t>t</w:t>
      </w:r>
      <w:proofErr w:type="gramEnd"/>
      <w:r w:rsidRPr="008668AA">
        <w:rPr>
          <w:rFonts w:ascii="Arial Black" w:hAnsi="Arial Black"/>
          <w:sz w:val="28"/>
          <w:szCs w:val="28"/>
        </w:rPr>
        <w:t xml:space="preserve"> dans son chapitre 4 les règles de prov</w:t>
      </w:r>
      <w:r>
        <w:rPr>
          <w:rFonts w:ascii="Arial Black" w:hAnsi="Arial Black"/>
          <w:sz w:val="28"/>
          <w:szCs w:val="28"/>
        </w:rPr>
        <w:t>isionnement et les garanties ci-</w:t>
      </w:r>
      <w:r w:rsidRPr="008668AA">
        <w:rPr>
          <w:rFonts w:ascii="Arial Black" w:hAnsi="Arial Black"/>
          <w:sz w:val="28"/>
          <w:szCs w:val="28"/>
        </w:rPr>
        <w:t>après :</w:t>
      </w:r>
    </w:p>
    <w:p w14:paraId="6DB4E8E5" w14:textId="77777777" w:rsidR="007768D5" w:rsidRPr="008668AA" w:rsidRDefault="007768D5" w:rsidP="001B600E">
      <w:pPr>
        <w:jc w:val="both"/>
        <w:rPr>
          <w:rFonts w:ascii="Arial Black" w:hAnsi="Arial Black"/>
          <w:sz w:val="28"/>
          <w:szCs w:val="28"/>
        </w:rPr>
      </w:pPr>
    </w:p>
    <w:p w14:paraId="5CD0ABF4" w14:textId="77777777" w:rsidR="001B600E" w:rsidRDefault="001B600E" w:rsidP="007768D5">
      <w:pPr>
        <w:pStyle w:val="Paragraphedeliste"/>
        <w:numPr>
          <w:ilvl w:val="0"/>
          <w:numId w:val="23"/>
        </w:numPr>
        <w:spacing w:after="200" w:line="276" w:lineRule="auto"/>
        <w:ind w:left="567" w:hanging="283"/>
        <w:jc w:val="both"/>
        <w:rPr>
          <w:rFonts w:ascii="Arial Black" w:hAnsi="Arial Black"/>
          <w:sz w:val="28"/>
          <w:szCs w:val="28"/>
        </w:rPr>
      </w:pPr>
      <w:r w:rsidRPr="008668AA">
        <w:rPr>
          <w:rFonts w:ascii="Arial Black" w:hAnsi="Arial Black"/>
          <w:sz w:val="28"/>
          <w:szCs w:val="28"/>
        </w:rPr>
        <w:t>La constitution des provisions est facultative pour les créances en souffrances sur l’Etat ou garanties par l’Etat</w:t>
      </w:r>
    </w:p>
    <w:p w14:paraId="4C619073" w14:textId="77777777" w:rsidR="001B600E" w:rsidRPr="008668AA" w:rsidRDefault="001B600E" w:rsidP="007768D5">
      <w:pPr>
        <w:pStyle w:val="Paragraphedeliste"/>
        <w:ind w:left="567" w:hanging="283"/>
        <w:jc w:val="both"/>
        <w:rPr>
          <w:rFonts w:ascii="Arial Black" w:hAnsi="Arial Black"/>
          <w:sz w:val="28"/>
          <w:szCs w:val="28"/>
        </w:rPr>
      </w:pPr>
    </w:p>
    <w:p w14:paraId="55EF5954" w14:textId="69D224B8" w:rsidR="001B600E" w:rsidRDefault="007768D5" w:rsidP="007768D5">
      <w:pPr>
        <w:pStyle w:val="Paragraphedeliste"/>
        <w:numPr>
          <w:ilvl w:val="0"/>
          <w:numId w:val="23"/>
        </w:numPr>
        <w:spacing w:after="200" w:line="276" w:lineRule="auto"/>
        <w:ind w:left="567" w:hanging="283"/>
        <w:jc w:val="both"/>
        <w:rPr>
          <w:rFonts w:ascii="Arial Black" w:hAnsi="Arial Black"/>
          <w:sz w:val="28"/>
          <w:szCs w:val="28"/>
        </w:rPr>
      </w:pPr>
      <w:r>
        <w:rPr>
          <w:rFonts w:ascii="Arial Black" w:hAnsi="Arial Black"/>
          <w:sz w:val="28"/>
          <w:szCs w:val="28"/>
        </w:rPr>
        <w:t xml:space="preserve">Les </w:t>
      </w:r>
      <w:r w:rsidR="001B600E" w:rsidRPr="008668AA">
        <w:rPr>
          <w:rFonts w:ascii="Arial Black" w:hAnsi="Arial Black"/>
          <w:sz w:val="28"/>
          <w:szCs w:val="28"/>
        </w:rPr>
        <w:t>autres créances douteuses intégralement couverte</w:t>
      </w:r>
      <w:r w:rsidR="001B600E">
        <w:rPr>
          <w:rFonts w:ascii="Arial Black" w:hAnsi="Arial Black"/>
          <w:sz w:val="28"/>
          <w:szCs w:val="28"/>
        </w:rPr>
        <w:t>s</w:t>
      </w:r>
      <w:r w:rsidR="001B600E" w:rsidRPr="008668AA">
        <w:rPr>
          <w:rFonts w:ascii="Arial Black" w:hAnsi="Arial Black"/>
          <w:sz w:val="28"/>
          <w:szCs w:val="28"/>
        </w:rPr>
        <w:t xml:space="preserve"> par les transferts fiduciaires des sommes d’argent, les gages d’espèces et le nantissement des titres </w:t>
      </w:r>
      <w:r w:rsidR="001B600E">
        <w:rPr>
          <w:rFonts w:ascii="Arial Black" w:hAnsi="Arial Black"/>
          <w:sz w:val="28"/>
          <w:szCs w:val="28"/>
        </w:rPr>
        <w:t>d</w:t>
      </w:r>
      <w:r w:rsidR="001B600E" w:rsidRPr="008668AA">
        <w:rPr>
          <w:rFonts w:ascii="Arial Black" w:hAnsi="Arial Black"/>
          <w:sz w:val="28"/>
          <w:szCs w:val="28"/>
        </w:rPr>
        <w:t>e créance émis par l’Etat ne donne</w:t>
      </w:r>
      <w:r w:rsidR="001B600E">
        <w:rPr>
          <w:rFonts w:ascii="Arial Black" w:hAnsi="Arial Black"/>
          <w:sz w:val="28"/>
          <w:szCs w:val="28"/>
        </w:rPr>
        <w:t>nt</w:t>
      </w:r>
      <w:r w:rsidR="001B600E" w:rsidRPr="008668AA">
        <w:rPr>
          <w:rFonts w:ascii="Arial Black" w:hAnsi="Arial Black"/>
          <w:sz w:val="28"/>
          <w:szCs w:val="28"/>
        </w:rPr>
        <w:t xml:space="preserve"> lieu à aucun provisionnement.</w:t>
      </w:r>
    </w:p>
    <w:p w14:paraId="5A42C547" w14:textId="77777777" w:rsidR="001B600E" w:rsidRPr="009F5BD1" w:rsidRDefault="001B600E" w:rsidP="007768D5">
      <w:pPr>
        <w:pStyle w:val="Paragraphedeliste"/>
        <w:ind w:left="567" w:hanging="283"/>
        <w:rPr>
          <w:rFonts w:ascii="Arial Black" w:hAnsi="Arial Black"/>
          <w:sz w:val="28"/>
          <w:szCs w:val="28"/>
        </w:rPr>
      </w:pPr>
    </w:p>
    <w:p w14:paraId="4E9725DC" w14:textId="77777777" w:rsidR="001B600E" w:rsidRDefault="001B600E" w:rsidP="007768D5">
      <w:pPr>
        <w:pStyle w:val="Paragraphedeliste"/>
        <w:numPr>
          <w:ilvl w:val="0"/>
          <w:numId w:val="23"/>
        </w:numPr>
        <w:spacing w:after="200" w:line="276" w:lineRule="auto"/>
        <w:ind w:left="567" w:hanging="283"/>
        <w:jc w:val="both"/>
        <w:rPr>
          <w:rFonts w:ascii="Arial Black" w:hAnsi="Arial Black"/>
          <w:sz w:val="28"/>
          <w:szCs w:val="28"/>
        </w:rPr>
      </w:pPr>
      <w:r w:rsidRPr="008668AA">
        <w:rPr>
          <w:rFonts w:ascii="Arial Black" w:hAnsi="Arial Black"/>
          <w:sz w:val="28"/>
          <w:szCs w:val="28"/>
        </w:rPr>
        <w:t>Les créances douteuses intégralement couvertes par les garanties ci-après sont provisionné</w:t>
      </w:r>
      <w:r>
        <w:rPr>
          <w:rFonts w:ascii="Arial Black" w:hAnsi="Arial Black"/>
          <w:sz w:val="28"/>
          <w:szCs w:val="28"/>
        </w:rPr>
        <w:t>es totalement sur quatre</w:t>
      </w:r>
      <w:r w:rsidRPr="008668AA">
        <w:rPr>
          <w:rFonts w:ascii="Arial Black" w:hAnsi="Arial Black"/>
          <w:sz w:val="28"/>
          <w:szCs w:val="28"/>
        </w:rPr>
        <w:t xml:space="preserve"> ans par quart additionnel progressif jusqu’à atteindre</w:t>
      </w:r>
      <w:r>
        <w:rPr>
          <w:rFonts w:ascii="Arial Black" w:hAnsi="Arial Black"/>
          <w:sz w:val="28"/>
          <w:szCs w:val="28"/>
        </w:rPr>
        <w:t xml:space="preserve"> 100%.</w:t>
      </w:r>
      <w:r w:rsidRPr="008668AA">
        <w:rPr>
          <w:rFonts w:ascii="Arial Black" w:hAnsi="Arial Black"/>
          <w:sz w:val="28"/>
          <w:szCs w:val="28"/>
        </w:rPr>
        <w:t xml:space="preserve"> </w:t>
      </w:r>
      <w:r>
        <w:rPr>
          <w:rFonts w:ascii="Arial Black" w:hAnsi="Arial Black"/>
          <w:sz w:val="28"/>
          <w:szCs w:val="28"/>
        </w:rPr>
        <w:t>I</w:t>
      </w:r>
      <w:r w:rsidRPr="008668AA">
        <w:rPr>
          <w:rFonts w:ascii="Arial Black" w:hAnsi="Arial Black"/>
          <w:sz w:val="28"/>
          <w:szCs w:val="28"/>
        </w:rPr>
        <w:t>l s’agit des garanties ci-après</w:t>
      </w:r>
    </w:p>
    <w:p w14:paraId="1794466F" w14:textId="77777777" w:rsidR="001B600E" w:rsidRPr="008668AA" w:rsidRDefault="001B600E" w:rsidP="001B600E">
      <w:pPr>
        <w:pStyle w:val="Paragraphedeliste"/>
        <w:jc w:val="both"/>
        <w:rPr>
          <w:rFonts w:ascii="Arial Black" w:hAnsi="Arial Black"/>
          <w:sz w:val="28"/>
          <w:szCs w:val="28"/>
        </w:rPr>
      </w:pPr>
    </w:p>
    <w:p w14:paraId="2E5EDE2D" w14:textId="77777777" w:rsidR="001B600E" w:rsidRPr="008668AA" w:rsidRDefault="001B600E" w:rsidP="007768D5">
      <w:pPr>
        <w:pStyle w:val="Paragraphedeliste"/>
        <w:numPr>
          <w:ilvl w:val="0"/>
          <w:numId w:val="26"/>
        </w:numPr>
        <w:spacing w:after="200" w:line="276" w:lineRule="auto"/>
        <w:ind w:left="851" w:hanging="284"/>
        <w:jc w:val="both"/>
        <w:rPr>
          <w:rFonts w:ascii="Arial Black" w:hAnsi="Arial Black"/>
          <w:sz w:val="28"/>
          <w:szCs w:val="28"/>
        </w:rPr>
      </w:pPr>
      <w:r>
        <w:rPr>
          <w:rFonts w:ascii="Arial Black" w:hAnsi="Arial Black"/>
          <w:sz w:val="28"/>
          <w:szCs w:val="28"/>
        </w:rPr>
        <w:t xml:space="preserve">Les garanties </w:t>
      </w:r>
      <w:r w:rsidRPr="008668AA">
        <w:rPr>
          <w:rFonts w:ascii="Arial Black" w:hAnsi="Arial Black"/>
          <w:sz w:val="28"/>
          <w:szCs w:val="28"/>
        </w:rPr>
        <w:t>reçues de la part d’un établissement de crédit implanté dans la zone CEMAC</w:t>
      </w:r>
    </w:p>
    <w:p w14:paraId="087E33A0" w14:textId="77777777" w:rsidR="001B600E" w:rsidRPr="00571E71" w:rsidRDefault="001B600E" w:rsidP="007768D5">
      <w:pPr>
        <w:pStyle w:val="Paragraphedeliste"/>
        <w:numPr>
          <w:ilvl w:val="0"/>
          <w:numId w:val="26"/>
        </w:numPr>
        <w:spacing w:after="200" w:line="276" w:lineRule="auto"/>
        <w:ind w:left="851" w:hanging="284"/>
        <w:jc w:val="both"/>
        <w:rPr>
          <w:rFonts w:ascii="Arial Black" w:hAnsi="Arial Black"/>
          <w:sz w:val="28"/>
          <w:szCs w:val="28"/>
        </w:rPr>
      </w:pPr>
      <w:r w:rsidRPr="008668AA">
        <w:rPr>
          <w:rFonts w:ascii="Arial Black" w:hAnsi="Arial Black"/>
          <w:sz w:val="28"/>
          <w:szCs w:val="28"/>
        </w:rPr>
        <w:t>Les garanties reçues des banques multilatérales de développement, d’organismes multilatéraux de garanties d’organismes publics de financement ou de garanties implantées dans la zone CEMAC.</w:t>
      </w:r>
    </w:p>
    <w:p w14:paraId="6C8F3B58" w14:textId="77777777" w:rsidR="001B600E" w:rsidRDefault="001B600E" w:rsidP="007768D5">
      <w:pPr>
        <w:pStyle w:val="Paragraphedeliste"/>
        <w:numPr>
          <w:ilvl w:val="0"/>
          <w:numId w:val="26"/>
        </w:numPr>
        <w:spacing w:after="200" w:line="276" w:lineRule="auto"/>
        <w:ind w:left="851" w:hanging="284"/>
        <w:jc w:val="both"/>
        <w:rPr>
          <w:rFonts w:ascii="Arial Black" w:hAnsi="Arial Black"/>
          <w:sz w:val="28"/>
          <w:szCs w:val="28"/>
        </w:rPr>
      </w:pPr>
      <w:r w:rsidRPr="008668AA">
        <w:rPr>
          <w:rFonts w:ascii="Arial Black" w:hAnsi="Arial Black"/>
          <w:sz w:val="28"/>
          <w:szCs w:val="28"/>
        </w:rPr>
        <w:lastRenderedPageBreak/>
        <w:t>Les suretés réelle</w:t>
      </w:r>
      <w:r>
        <w:rPr>
          <w:rFonts w:ascii="Arial Black" w:hAnsi="Arial Black"/>
          <w:sz w:val="28"/>
          <w:szCs w:val="28"/>
        </w:rPr>
        <w:t>s</w:t>
      </w:r>
      <w:r w:rsidRPr="008668AA">
        <w:rPr>
          <w:rFonts w:ascii="Arial Black" w:hAnsi="Arial Black"/>
          <w:sz w:val="28"/>
          <w:szCs w:val="28"/>
        </w:rPr>
        <w:t xml:space="preserve"> (hypothèques fermes de </w:t>
      </w:r>
      <w:r>
        <w:rPr>
          <w:rFonts w:ascii="Arial Black" w:hAnsi="Arial Black"/>
          <w:sz w:val="28"/>
          <w:szCs w:val="28"/>
        </w:rPr>
        <w:t>premier</w:t>
      </w:r>
      <w:r w:rsidRPr="008668AA">
        <w:rPr>
          <w:rFonts w:ascii="Arial Black" w:hAnsi="Arial Black"/>
          <w:sz w:val="28"/>
          <w:szCs w:val="28"/>
        </w:rPr>
        <w:t xml:space="preserve"> et </w:t>
      </w:r>
      <w:r>
        <w:rPr>
          <w:rFonts w:ascii="Arial Black" w:hAnsi="Arial Black"/>
          <w:sz w:val="28"/>
          <w:szCs w:val="28"/>
        </w:rPr>
        <w:t>second</w:t>
      </w:r>
      <w:r w:rsidRPr="008668AA">
        <w:rPr>
          <w:rFonts w:ascii="Arial Black" w:hAnsi="Arial Black"/>
          <w:sz w:val="28"/>
          <w:szCs w:val="28"/>
        </w:rPr>
        <w:t xml:space="preserve"> rang sur les immeubles dûment enregistrés</w:t>
      </w:r>
      <w:r>
        <w:rPr>
          <w:rFonts w:ascii="Arial Black" w:hAnsi="Arial Black"/>
          <w:sz w:val="28"/>
          <w:szCs w:val="28"/>
        </w:rPr>
        <w:t>,</w:t>
      </w:r>
      <w:r w:rsidRPr="008668AA">
        <w:rPr>
          <w:rFonts w:ascii="Arial Black" w:hAnsi="Arial Black"/>
          <w:sz w:val="28"/>
          <w:szCs w:val="28"/>
        </w:rPr>
        <w:t xml:space="preserve"> le pacte commissoire).</w:t>
      </w:r>
    </w:p>
    <w:p w14:paraId="4DE47DFA" w14:textId="77777777" w:rsidR="001B600E" w:rsidRPr="00571E71" w:rsidRDefault="001B600E" w:rsidP="001B600E">
      <w:pPr>
        <w:pStyle w:val="Paragraphedeliste"/>
        <w:ind w:left="1440"/>
        <w:jc w:val="both"/>
        <w:rPr>
          <w:rFonts w:ascii="Arial Black" w:hAnsi="Arial Black"/>
          <w:sz w:val="28"/>
          <w:szCs w:val="28"/>
        </w:rPr>
      </w:pPr>
    </w:p>
    <w:p w14:paraId="51C1C5F2" w14:textId="77777777" w:rsidR="001B600E" w:rsidRDefault="001B600E" w:rsidP="007768D5">
      <w:pPr>
        <w:pStyle w:val="Paragraphedeliste"/>
        <w:numPr>
          <w:ilvl w:val="0"/>
          <w:numId w:val="23"/>
        </w:numPr>
        <w:spacing w:after="200" w:line="276" w:lineRule="auto"/>
        <w:ind w:left="567" w:hanging="283"/>
        <w:jc w:val="both"/>
        <w:rPr>
          <w:rFonts w:ascii="Arial Black" w:hAnsi="Arial Black"/>
          <w:sz w:val="28"/>
          <w:szCs w:val="28"/>
        </w:rPr>
      </w:pPr>
      <w:r w:rsidRPr="008668AA">
        <w:rPr>
          <w:rFonts w:ascii="Arial Black" w:hAnsi="Arial Black"/>
          <w:sz w:val="28"/>
          <w:szCs w:val="28"/>
        </w:rPr>
        <w:t xml:space="preserve">La réglementation </w:t>
      </w:r>
      <w:r>
        <w:rPr>
          <w:rFonts w:ascii="Arial Black" w:hAnsi="Arial Black"/>
          <w:sz w:val="28"/>
          <w:szCs w:val="28"/>
        </w:rPr>
        <w:t>ne tient pas compte</w:t>
      </w:r>
      <w:r w:rsidRPr="008668AA">
        <w:rPr>
          <w:rFonts w:ascii="Arial Black" w:hAnsi="Arial Black"/>
          <w:sz w:val="28"/>
          <w:szCs w:val="28"/>
        </w:rPr>
        <w:t xml:space="preserve"> </w:t>
      </w:r>
      <w:r>
        <w:rPr>
          <w:rFonts w:ascii="Arial Black" w:hAnsi="Arial Black"/>
          <w:sz w:val="28"/>
          <w:szCs w:val="28"/>
        </w:rPr>
        <w:t>d</w:t>
      </w:r>
      <w:r w:rsidRPr="008668AA">
        <w:rPr>
          <w:rFonts w:ascii="Arial Black" w:hAnsi="Arial Black"/>
          <w:sz w:val="28"/>
          <w:szCs w:val="28"/>
        </w:rPr>
        <w:t xml:space="preserve">es garanties </w:t>
      </w:r>
      <w:r>
        <w:rPr>
          <w:rFonts w:ascii="Arial Black" w:hAnsi="Arial Black"/>
          <w:sz w:val="28"/>
          <w:szCs w:val="28"/>
        </w:rPr>
        <w:t>ci-après dans la constitution des provisions :</w:t>
      </w:r>
    </w:p>
    <w:p w14:paraId="11D3C4DC" w14:textId="77777777" w:rsidR="001B600E" w:rsidRPr="008668AA" w:rsidRDefault="001B600E" w:rsidP="001B600E">
      <w:pPr>
        <w:pStyle w:val="Paragraphedeliste"/>
        <w:jc w:val="both"/>
        <w:rPr>
          <w:rFonts w:ascii="Arial Black" w:hAnsi="Arial Black"/>
          <w:sz w:val="28"/>
          <w:szCs w:val="28"/>
        </w:rPr>
      </w:pPr>
    </w:p>
    <w:p w14:paraId="0433EDA3" w14:textId="77777777" w:rsidR="001B600E" w:rsidRPr="008668AA" w:rsidRDefault="001B600E" w:rsidP="007768D5">
      <w:pPr>
        <w:pStyle w:val="Paragraphedeliste"/>
        <w:numPr>
          <w:ilvl w:val="0"/>
          <w:numId w:val="27"/>
        </w:numPr>
        <w:spacing w:after="200" w:line="276" w:lineRule="auto"/>
        <w:ind w:left="851" w:hanging="284"/>
        <w:jc w:val="both"/>
        <w:rPr>
          <w:rFonts w:ascii="Arial Black" w:hAnsi="Arial Black"/>
          <w:sz w:val="28"/>
          <w:szCs w:val="28"/>
        </w:rPr>
      </w:pPr>
      <w:r w:rsidRPr="008668AA">
        <w:rPr>
          <w:rFonts w:ascii="Arial Black" w:hAnsi="Arial Black"/>
          <w:sz w:val="28"/>
          <w:szCs w:val="28"/>
        </w:rPr>
        <w:t>Les cautions solidaires ou personnelles sans gage d’espèce</w:t>
      </w:r>
    </w:p>
    <w:p w14:paraId="57304527" w14:textId="77777777" w:rsidR="001B600E" w:rsidRDefault="001B600E" w:rsidP="007768D5">
      <w:pPr>
        <w:pStyle w:val="Paragraphedeliste"/>
        <w:numPr>
          <w:ilvl w:val="0"/>
          <w:numId w:val="27"/>
        </w:numPr>
        <w:spacing w:after="200" w:line="276" w:lineRule="auto"/>
        <w:ind w:left="851" w:hanging="284"/>
        <w:jc w:val="both"/>
        <w:rPr>
          <w:rFonts w:ascii="Arial Black" w:hAnsi="Arial Black"/>
          <w:sz w:val="28"/>
          <w:szCs w:val="28"/>
        </w:rPr>
      </w:pPr>
      <w:r w:rsidRPr="008668AA">
        <w:rPr>
          <w:rFonts w:ascii="Arial Black" w:hAnsi="Arial Black"/>
          <w:sz w:val="28"/>
          <w:szCs w:val="28"/>
        </w:rPr>
        <w:t>Les dépôts libres des biens meubles et immeubles</w:t>
      </w:r>
    </w:p>
    <w:p w14:paraId="71D9D92F" w14:textId="77777777" w:rsidR="001B600E" w:rsidRPr="008668AA" w:rsidRDefault="001B600E" w:rsidP="007768D5">
      <w:pPr>
        <w:pStyle w:val="Paragraphedeliste"/>
        <w:numPr>
          <w:ilvl w:val="0"/>
          <w:numId w:val="27"/>
        </w:numPr>
        <w:spacing w:after="200" w:line="276" w:lineRule="auto"/>
        <w:ind w:left="851" w:hanging="284"/>
        <w:jc w:val="both"/>
        <w:rPr>
          <w:rFonts w:ascii="Arial Black" w:hAnsi="Arial Black"/>
          <w:sz w:val="28"/>
          <w:szCs w:val="28"/>
        </w:rPr>
      </w:pPr>
      <w:r>
        <w:rPr>
          <w:rFonts w:ascii="Arial Black" w:hAnsi="Arial Black"/>
          <w:sz w:val="28"/>
          <w:szCs w:val="28"/>
        </w:rPr>
        <w:t>Les gages des biens mobiliers</w:t>
      </w:r>
    </w:p>
    <w:p w14:paraId="4D6DCF1E" w14:textId="77777777" w:rsidR="001B600E" w:rsidRPr="009D790B" w:rsidRDefault="001B600E" w:rsidP="007768D5">
      <w:pPr>
        <w:pStyle w:val="Paragraphedeliste"/>
        <w:numPr>
          <w:ilvl w:val="0"/>
          <w:numId w:val="27"/>
        </w:numPr>
        <w:spacing w:after="200" w:line="276" w:lineRule="auto"/>
        <w:ind w:left="851" w:hanging="284"/>
        <w:jc w:val="both"/>
        <w:rPr>
          <w:rFonts w:ascii="Arial Black" w:hAnsi="Arial Black"/>
          <w:sz w:val="28"/>
          <w:szCs w:val="28"/>
        </w:rPr>
      </w:pPr>
      <w:r w:rsidRPr="008668AA">
        <w:rPr>
          <w:rFonts w:ascii="Arial Black" w:hAnsi="Arial Black"/>
          <w:sz w:val="28"/>
          <w:szCs w:val="28"/>
        </w:rPr>
        <w:t>Les ventes à rémérées etc.</w:t>
      </w:r>
    </w:p>
    <w:p w14:paraId="08AF933C" w14:textId="77777777" w:rsidR="001B600E" w:rsidRPr="008668AA" w:rsidRDefault="001B600E" w:rsidP="001B600E">
      <w:pPr>
        <w:pStyle w:val="Paragraphedeliste"/>
        <w:ind w:left="1440"/>
        <w:jc w:val="both"/>
        <w:rPr>
          <w:rFonts w:ascii="Arial Black" w:hAnsi="Arial Black"/>
          <w:sz w:val="28"/>
          <w:szCs w:val="28"/>
        </w:rPr>
      </w:pPr>
    </w:p>
    <w:p w14:paraId="52B01666" w14:textId="77777777" w:rsidR="001B600E" w:rsidRDefault="001B600E" w:rsidP="007768D5">
      <w:pPr>
        <w:pStyle w:val="Paragraphedeliste"/>
        <w:numPr>
          <w:ilvl w:val="0"/>
          <w:numId w:val="23"/>
        </w:numPr>
        <w:spacing w:after="200" w:line="276" w:lineRule="auto"/>
        <w:ind w:left="567" w:hanging="283"/>
        <w:jc w:val="both"/>
        <w:rPr>
          <w:rFonts w:ascii="Arial Black" w:hAnsi="Arial Black"/>
          <w:sz w:val="28"/>
          <w:szCs w:val="28"/>
        </w:rPr>
      </w:pPr>
      <w:r w:rsidRPr="008668AA">
        <w:rPr>
          <w:rFonts w:ascii="Arial Black" w:hAnsi="Arial Black"/>
          <w:sz w:val="28"/>
          <w:szCs w:val="28"/>
        </w:rPr>
        <w:t xml:space="preserve">Il est désormais reconnu à la </w:t>
      </w:r>
      <w:proofErr w:type="gramStart"/>
      <w:r w:rsidRPr="008668AA">
        <w:rPr>
          <w:rFonts w:ascii="Arial Black" w:hAnsi="Arial Black"/>
          <w:sz w:val="28"/>
          <w:szCs w:val="28"/>
        </w:rPr>
        <w:t>COBAC  le</w:t>
      </w:r>
      <w:proofErr w:type="gramEnd"/>
      <w:r w:rsidRPr="008668AA">
        <w:rPr>
          <w:rFonts w:ascii="Arial Black" w:hAnsi="Arial Black"/>
          <w:sz w:val="28"/>
          <w:szCs w:val="28"/>
        </w:rPr>
        <w:t xml:space="preserve"> pouvoir souverain d’exiger que les créances sur une contrepartie soient classées dans une catégorie donnée et couverte</w:t>
      </w:r>
      <w:r>
        <w:rPr>
          <w:rFonts w:ascii="Arial Black" w:hAnsi="Arial Black"/>
          <w:sz w:val="28"/>
          <w:szCs w:val="28"/>
        </w:rPr>
        <w:t>s</w:t>
      </w:r>
      <w:r w:rsidRPr="008668AA">
        <w:rPr>
          <w:rFonts w:ascii="Arial Black" w:hAnsi="Arial Black"/>
          <w:sz w:val="28"/>
          <w:szCs w:val="28"/>
        </w:rPr>
        <w:t xml:space="preserve"> par les provisions appropriées</w:t>
      </w:r>
    </w:p>
    <w:p w14:paraId="48582A56" w14:textId="77777777" w:rsidR="001B600E" w:rsidRPr="008668AA" w:rsidRDefault="001B600E" w:rsidP="007768D5">
      <w:pPr>
        <w:pStyle w:val="Paragraphedeliste"/>
        <w:ind w:left="567" w:hanging="283"/>
        <w:jc w:val="both"/>
        <w:rPr>
          <w:rFonts w:ascii="Arial Black" w:hAnsi="Arial Black"/>
          <w:sz w:val="28"/>
          <w:szCs w:val="28"/>
        </w:rPr>
      </w:pPr>
    </w:p>
    <w:p w14:paraId="795CF291" w14:textId="098DEE26" w:rsidR="001B600E" w:rsidRDefault="001B600E" w:rsidP="007768D5">
      <w:pPr>
        <w:pStyle w:val="Paragraphedeliste"/>
        <w:numPr>
          <w:ilvl w:val="0"/>
          <w:numId w:val="23"/>
        </w:numPr>
        <w:spacing w:after="200" w:line="276" w:lineRule="auto"/>
        <w:ind w:left="567" w:hanging="283"/>
        <w:jc w:val="both"/>
        <w:rPr>
          <w:rFonts w:ascii="Arial Black" w:hAnsi="Arial Black"/>
          <w:sz w:val="28"/>
          <w:szCs w:val="28"/>
        </w:rPr>
      </w:pPr>
      <w:r w:rsidRPr="008668AA">
        <w:rPr>
          <w:rFonts w:ascii="Arial Black" w:hAnsi="Arial Black"/>
          <w:sz w:val="28"/>
          <w:szCs w:val="28"/>
        </w:rPr>
        <w:t xml:space="preserve"> L’approbation du </w:t>
      </w:r>
      <w:r>
        <w:rPr>
          <w:rFonts w:ascii="Arial Black" w:hAnsi="Arial Black"/>
          <w:sz w:val="28"/>
          <w:szCs w:val="28"/>
        </w:rPr>
        <w:t>S</w:t>
      </w:r>
      <w:r w:rsidRPr="008668AA">
        <w:rPr>
          <w:rFonts w:ascii="Arial Black" w:hAnsi="Arial Black"/>
          <w:sz w:val="28"/>
          <w:szCs w:val="28"/>
        </w:rPr>
        <w:t>ecrétaire</w:t>
      </w:r>
      <w:r>
        <w:rPr>
          <w:rFonts w:ascii="Arial Black" w:hAnsi="Arial Black"/>
          <w:sz w:val="28"/>
          <w:szCs w:val="28"/>
        </w:rPr>
        <w:t xml:space="preserve"> G</w:t>
      </w:r>
      <w:r w:rsidR="007768D5">
        <w:rPr>
          <w:rFonts w:ascii="Arial Black" w:hAnsi="Arial Black"/>
          <w:sz w:val="28"/>
          <w:szCs w:val="28"/>
        </w:rPr>
        <w:t xml:space="preserve">énéral de la </w:t>
      </w:r>
      <w:r w:rsidRPr="008668AA">
        <w:rPr>
          <w:rFonts w:ascii="Arial Black" w:hAnsi="Arial Black"/>
          <w:sz w:val="28"/>
          <w:szCs w:val="28"/>
        </w:rPr>
        <w:t>COBAC est requise pour tout passage en perte ou abandon des créances détenues sur les groupes ou les parties liées</w:t>
      </w:r>
      <w:r>
        <w:rPr>
          <w:rFonts w:ascii="Arial Black" w:hAnsi="Arial Black"/>
          <w:sz w:val="28"/>
          <w:szCs w:val="28"/>
        </w:rPr>
        <w:t xml:space="preserve"> (entreprise faisant </w:t>
      </w:r>
      <w:proofErr w:type="spellStart"/>
      <w:r>
        <w:rPr>
          <w:rFonts w:ascii="Arial Black" w:hAnsi="Arial Black"/>
          <w:sz w:val="28"/>
          <w:szCs w:val="28"/>
        </w:rPr>
        <w:t>parie</w:t>
      </w:r>
      <w:proofErr w:type="spellEnd"/>
      <w:r>
        <w:rPr>
          <w:rFonts w:ascii="Arial Black" w:hAnsi="Arial Black"/>
          <w:sz w:val="28"/>
          <w:szCs w:val="28"/>
        </w:rPr>
        <w:t xml:space="preserve"> d’un même groupe, maison mère et Filiales de l’EMF ou des apparentés à l’EMF, apparentés des apparentées des dirigeants, actionnaires des EMF etc.)</w:t>
      </w:r>
      <w:r w:rsidRPr="008668AA">
        <w:rPr>
          <w:rFonts w:ascii="Arial Black" w:hAnsi="Arial Black"/>
          <w:sz w:val="28"/>
          <w:szCs w:val="28"/>
        </w:rPr>
        <w:t>.</w:t>
      </w:r>
    </w:p>
    <w:p w14:paraId="7DD28FE5" w14:textId="77777777" w:rsidR="001B600E" w:rsidRDefault="001B600E" w:rsidP="001B600E">
      <w:pPr>
        <w:pStyle w:val="Paragraphedeliste"/>
        <w:rPr>
          <w:rFonts w:ascii="Arial Black" w:hAnsi="Arial Black"/>
          <w:sz w:val="28"/>
          <w:szCs w:val="28"/>
        </w:rPr>
      </w:pPr>
    </w:p>
    <w:p w14:paraId="3DD79909" w14:textId="77777777" w:rsidR="007768D5" w:rsidRDefault="007768D5" w:rsidP="001B600E">
      <w:pPr>
        <w:pStyle w:val="Paragraphedeliste"/>
        <w:rPr>
          <w:rFonts w:ascii="Arial Black" w:hAnsi="Arial Black"/>
          <w:sz w:val="28"/>
          <w:szCs w:val="28"/>
        </w:rPr>
      </w:pPr>
    </w:p>
    <w:p w14:paraId="1316C138" w14:textId="77777777" w:rsidR="007768D5" w:rsidRDefault="007768D5" w:rsidP="001B600E">
      <w:pPr>
        <w:pStyle w:val="Paragraphedeliste"/>
        <w:rPr>
          <w:rFonts w:ascii="Arial Black" w:hAnsi="Arial Black"/>
          <w:sz w:val="28"/>
          <w:szCs w:val="28"/>
        </w:rPr>
      </w:pPr>
    </w:p>
    <w:p w14:paraId="6AFF37BD" w14:textId="77777777" w:rsidR="007768D5" w:rsidRDefault="007768D5" w:rsidP="001B600E">
      <w:pPr>
        <w:pStyle w:val="Paragraphedeliste"/>
        <w:rPr>
          <w:rFonts w:ascii="Arial Black" w:hAnsi="Arial Black"/>
          <w:sz w:val="28"/>
          <w:szCs w:val="28"/>
        </w:rPr>
      </w:pPr>
    </w:p>
    <w:p w14:paraId="5C0A48EA" w14:textId="77777777" w:rsidR="007768D5" w:rsidRDefault="007768D5" w:rsidP="001B600E">
      <w:pPr>
        <w:pStyle w:val="Paragraphedeliste"/>
        <w:rPr>
          <w:rFonts w:ascii="Arial Black" w:hAnsi="Arial Black"/>
          <w:sz w:val="28"/>
          <w:szCs w:val="28"/>
        </w:rPr>
      </w:pPr>
    </w:p>
    <w:p w14:paraId="119C3192" w14:textId="77777777" w:rsidR="007768D5" w:rsidRDefault="007768D5" w:rsidP="001B600E">
      <w:pPr>
        <w:pStyle w:val="Paragraphedeliste"/>
        <w:rPr>
          <w:rFonts w:ascii="Arial Black" w:hAnsi="Arial Black"/>
          <w:sz w:val="28"/>
          <w:szCs w:val="28"/>
        </w:rPr>
      </w:pPr>
    </w:p>
    <w:p w14:paraId="30266B7B" w14:textId="77777777" w:rsidR="007768D5" w:rsidRDefault="007768D5" w:rsidP="001B600E">
      <w:pPr>
        <w:pStyle w:val="Paragraphedeliste"/>
        <w:rPr>
          <w:rFonts w:ascii="Arial Black" w:hAnsi="Arial Black"/>
          <w:sz w:val="28"/>
          <w:szCs w:val="28"/>
        </w:rPr>
      </w:pPr>
    </w:p>
    <w:p w14:paraId="4CF6256D" w14:textId="77777777" w:rsidR="007768D5" w:rsidRPr="00571E71" w:rsidRDefault="007768D5" w:rsidP="001B600E">
      <w:pPr>
        <w:pStyle w:val="Paragraphedeliste"/>
        <w:rPr>
          <w:rFonts w:ascii="Arial Black" w:hAnsi="Arial Black"/>
          <w:sz w:val="28"/>
          <w:szCs w:val="28"/>
        </w:rPr>
      </w:pPr>
    </w:p>
    <w:p w14:paraId="11E741B3" w14:textId="77777777" w:rsidR="001B600E" w:rsidRDefault="001B600E" w:rsidP="007768D5">
      <w:pPr>
        <w:ind w:left="1134" w:hanging="567"/>
        <w:jc w:val="both"/>
        <w:rPr>
          <w:rFonts w:ascii="Arial Black" w:hAnsi="Arial Black"/>
          <w:b/>
          <w:sz w:val="36"/>
          <w:szCs w:val="36"/>
        </w:rPr>
      </w:pPr>
      <w:r w:rsidRPr="00220F04">
        <w:rPr>
          <w:rFonts w:ascii="Arial Black" w:hAnsi="Arial Black"/>
          <w:b/>
          <w:sz w:val="36"/>
          <w:szCs w:val="36"/>
        </w:rPr>
        <w:lastRenderedPageBreak/>
        <w:t>II</w:t>
      </w:r>
      <w:r w:rsidRPr="00220F04">
        <w:rPr>
          <w:rFonts w:ascii="Arial Black" w:hAnsi="Arial Black"/>
          <w:b/>
          <w:sz w:val="36"/>
          <w:szCs w:val="36"/>
        </w:rPr>
        <w:tab/>
        <w:t>TRAITEMENT DES CREANCES CONFORMEMENT AU REGLEMENT COBAC EMF R-2017/08 PORTANT PLAFONNEMENT DU MONTANT DE CREDIT ACCORDE PAR LES ETABLISSEMENTS DE MICROFINANCE</w:t>
      </w:r>
    </w:p>
    <w:p w14:paraId="6FD02D17" w14:textId="77777777" w:rsidR="001B600E" w:rsidRDefault="001B600E" w:rsidP="001B600E">
      <w:pPr>
        <w:ind w:left="1410" w:hanging="1050"/>
        <w:jc w:val="both"/>
        <w:rPr>
          <w:rFonts w:ascii="Arial Black" w:hAnsi="Arial Black"/>
          <w:b/>
          <w:sz w:val="36"/>
          <w:szCs w:val="36"/>
        </w:rPr>
      </w:pPr>
    </w:p>
    <w:p w14:paraId="205ECCFC" w14:textId="77777777" w:rsidR="001B600E" w:rsidRPr="00220F04" w:rsidRDefault="001B600E" w:rsidP="007768D5">
      <w:pPr>
        <w:ind w:left="851" w:hanging="284"/>
        <w:jc w:val="both"/>
        <w:rPr>
          <w:rFonts w:ascii="Arial Black" w:hAnsi="Arial Black"/>
          <w:b/>
          <w:sz w:val="36"/>
          <w:szCs w:val="36"/>
        </w:rPr>
      </w:pPr>
      <w:r>
        <w:rPr>
          <w:rFonts w:ascii="Arial Black" w:hAnsi="Arial Black"/>
          <w:b/>
          <w:sz w:val="36"/>
          <w:szCs w:val="36"/>
        </w:rPr>
        <w:t>II-1</w:t>
      </w:r>
      <w:r>
        <w:rPr>
          <w:rFonts w:ascii="Arial Black" w:hAnsi="Arial Black"/>
          <w:b/>
          <w:sz w:val="36"/>
          <w:szCs w:val="36"/>
        </w:rPr>
        <w:tab/>
        <w:t>Généralités sur le texte</w:t>
      </w:r>
    </w:p>
    <w:p w14:paraId="6FEA9C50" w14:textId="77777777" w:rsidR="001B600E" w:rsidRPr="00571E71" w:rsidRDefault="001B600E" w:rsidP="001B600E">
      <w:pPr>
        <w:jc w:val="both"/>
        <w:rPr>
          <w:rFonts w:ascii="Arial Black" w:hAnsi="Arial Black"/>
          <w:sz w:val="28"/>
          <w:szCs w:val="28"/>
        </w:rPr>
      </w:pPr>
      <w:r>
        <w:rPr>
          <w:rFonts w:ascii="Arial Black" w:hAnsi="Arial Black"/>
          <w:sz w:val="28"/>
          <w:szCs w:val="28"/>
        </w:rPr>
        <w:tab/>
      </w:r>
    </w:p>
    <w:p w14:paraId="167B8ED1" w14:textId="77777777" w:rsidR="001B600E" w:rsidRDefault="001B600E" w:rsidP="007768D5">
      <w:pPr>
        <w:jc w:val="both"/>
        <w:rPr>
          <w:rFonts w:ascii="Arial Black" w:hAnsi="Arial Black"/>
          <w:sz w:val="28"/>
          <w:szCs w:val="28"/>
        </w:rPr>
      </w:pPr>
      <w:r w:rsidRPr="008668AA">
        <w:rPr>
          <w:rFonts w:ascii="Arial Black" w:hAnsi="Arial Black"/>
          <w:sz w:val="28"/>
          <w:szCs w:val="28"/>
        </w:rPr>
        <w:t>Jusqu’alors, les limitations des crédits aux clients et aux apparentés était encadré par les règlements ci-après :</w:t>
      </w:r>
    </w:p>
    <w:p w14:paraId="24F5EB8B" w14:textId="77777777" w:rsidR="007768D5" w:rsidRPr="008668AA" w:rsidRDefault="007768D5" w:rsidP="001B600E">
      <w:pPr>
        <w:ind w:left="360"/>
        <w:jc w:val="both"/>
        <w:rPr>
          <w:rFonts w:ascii="Arial Black" w:hAnsi="Arial Black"/>
          <w:sz w:val="28"/>
          <w:szCs w:val="28"/>
        </w:rPr>
      </w:pPr>
    </w:p>
    <w:p w14:paraId="1D22B52E" w14:textId="77777777" w:rsidR="001B600E" w:rsidRPr="008668AA" w:rsidRDefault="001B600E" w:rsidP="007768D5">
      <w:pPr>
        <w:pStyle w:val="Paragraphedeliste"/>
        <w:numPr>
          <w:ilvl w:val="0"/>
          <w:numId w:val="24"/>
        </w:numPr>
        <w:spacing w:after="200" w:line="276" w:lineRule="auto"/>
        <w:ind w:left="567" w:hanging="283"/>
        <w:jc w:val="both"/>
        <w:rPr>
          <w:rFonts w:ascii="Arial Black" w:hAnsi="Arial Black"/>
          <w:sz w:val="28"/>
          <w:szCs w:val="28"/>
        </w:rPr>
      </w:pPr>
      <w:r w:rsidRPr="008668AA">
        <w:rPr>
          <w:rFonts w:ascii="Arial Black" w:hAnsi="Arial Black"/>
          <w:sz w:val="28"/>
          <w:szCs w:val="28"/>
        </w:rPr>
        <w:t xml:space="preserve">Le règlement COBAC EMF 2002/07 relatif à la couverture des risques qui demandent aux EMF de respecter en permanence un </w:t>
      </w:r>
      <w:r>
        <w:rPr>
          <w:rFonts w:ascii="Arial Black" w:hAnsi="Arial Black"/>
          <w:sz w:val="28"/>
          <w:szCs w:val="28"/>
        </w:rPr>
        <w:t>r</w:t>
      </w:r>
      <w:r w:rsidRPr="008668AA">
        <w:rPr>
          <w:rFonts w:ascii="Arial Black" w:hAnsi="Arial Black"/>
          <w:sz w:val="28"/>
          <w:szCs w:val="28"/>
        </w:rPr>
        <w:t xml:space="preserve">apport minimum dit </w:t>
      </w:r>
      <w:r>
        <w:rPr>
          <w:rFonts w:ascii="Arial Black" w:hAnsi="Arial Black"/>
          <w:sz w:val="28"/>
          <w:szCs w:val="28"/>
        </w:rPr>
        <w:t>rapport de couverture des</w:t>
      </w:r>
      <w:r w:rsidRPr="008668AA">
        <w:rPr>
          <w:rFonts w:ascii="Arial Black" w:hAnsi="Arial Black"/>
          <w:sz w:val="28"/>
          <w:szCs w:val="28"/>
        </w:rPr>
        <w:t xml:space="preserve"> risque</w:t>
      </w:r>
      <w:r>
        <w:rPr>
          <w:rFonts w:ascii="Arial Black" w:hAnsi="Arial Black"/>
          <w:sz w:val="28"/>
          <w:szCs w:val="28"/>
        </w:rPr>
        <w:t>s</w:t>
      </w:r>
      <w:r w:rsidRPr="008668AA">
        <w:rPr>
          <w:rFonts w:ascii="Arial Black" w:hAnsi="Arial Black"/>
          <w:sz w:val="28"/>
          <w:szCs w:val="28"/>
        </w:rPr>
        <w:t xml:space="preserve"> entre le montant de leur fonds propres </w:t>
      </w:r>
      <w:r>
        <w:rPr>
          <w:rFonts w:ascii="Arial Black" w:hAnsi="Arial Black"/>
          <w:sz w:val="28"/>
          <w:szCs w:val="28"/>
        </w:rPr>
        <w:t xml:space="preserve">ou patrimoniaux </w:t>
      </w:r>
      <w:r w:rsidRPr="008668AA">
        <w:rPr>
          <w:rFonts w:ascii="Arial Black" w:hAnsi="Arial Black"/>
          <w:sz w:val="28"/>
          <w:szCs w:val="28"/>
        </w:rPr>
        <w:t xml:space="preserve">nets et celui des risques qu’ils encourent du fait de leurs opérations avec la clientèle. Ce rapport est de 10% </w:t>
      </w:r>
    </w:p>
    <w:p w14:paraId="578D639A" w14:textId="77777777" w:rsidR="001B600E" w:rsidRDefault="001B600E" w:rsidP="007768D5">
      <w:pPr>
        <w:pStyle w:val="Paragraphedeliste"/>
        <w:numPr>
          <w:ilvl w:val="0"/>
          <w:numId w:val="24"/>
        </w:numPr>
        <w:spacing w:after="200" w:line="276" w:lineRule="auto"/>
        <w:ind w:left="567" w:hanging="283"/>
        <w:jc w:val="both"/>
        <w:rPr>
          <w:rFonts w:ascii="Arial Black" w:hAnsi="Arial Black"/>
          <w:sz w:val="28"/>
          <w:szCs w:val="28"/>
        </w:rPr>
      </w:pPr>
      <w:r w:rsidRPr="008668AA">
        <w:rPr>
          <w:rFonts w:ascii="Arial Black" w:hAnsi="Arial Black"/>
          <w:sz w:val="28"/>
          <w:szCs w:val="28"/>
        </w:rPr>
        <w:t xml:space="preserve"> </w:t>
      </w:r>
      <w:proofErr w:type="gramStart"/>
      <w:r w:rsidRPr="008668AA">
        <w:rPr>
          <w:rFonts w:ascii="Arial Black" w:hAnsi="Arial Black"/>
          <w:sz w:val="28"/>
          <w:szCs w:val="28"/>
        </w:rPr>
        <w:t xml:space="preserve">Le règlement COBAC EMF 2002/08 relatif à la division des risques qui stipule que les EMF doivent respecter </w:t>
      </w:r>
      <w:r>
        <w:rPr>
          <w:rFonts w:ascii="Arial Black" w:hAnsi="Arial Black"/>
          <w:sz w:val="28"/>
          <w:szCs w:val="28"/>
        </w:rPr>
        <w:t>à tout moment</w:t>
      </w:r>
      <w:r w:rsidRPr="008668AA">
        <w:rPr>
          <w:rFonts w:ascii="Arial Black" w:hAnsi="Arial Black"/>
          <w:sz w:val="28"/>
          <w:szCs w:val="28"/>
        </w:rPr>
        <w:t xml:space="preserve"> un rapport minimum entre le montant de leur</w:t>
      </w:r>
      <w:r>
        <w:rPr>
          <w:rFonts w:ascii="Arial Black" w:hAnsi="Arial Black"/>
          <w:sz w:val="28"/>
          <w:szCs w:val="28"/>
        </w:rPr>
        <w:t>s</w:t>
      </w:r>
      <w:r w:rsidRPr="008668AA">
        <w:rPr>
          <w:rFonts w:ascii="Arial Black" w:hAnsi="Arial Black"/>
          <w:sz w:val="28"/>
          <w:szCs w:val="28"/>
        </w:rPr>
        <w:t xml:space="preserve"> fonds propre</w:t>
      </w:r>
      <w:r>
        <w:rPr>
          <w:rFonts w:ascii="Arial Black" w:hAnsi="Arial Black"/>
          <w:sz w:val="28"/>
          <w:szCs w:val="28"/>
        </w:rPr>
        <w:t>s ou patrimoniaux</w:t>
      </w:r>
      <w:r w:rsidRPr="008668AA">
        <w:rPr>
          <w:rFonts w:ascii="Arial Black" w:hAnsi="Arial Black"/>
          <w:sz w:val="28"/>
          <w:szCs w:val="28"/>
        </w:rPr>
        <w:t xml:space="preserve"> nets et l’ensemble des risques qu’ils encourent du fait de leurs opérations avec un même bénéficiaire d’une part, et d’autre part un rapport minimum entre le montant de leur</w:t>
      </w:r>
      <w:r>
        <w:rPr>
          <w:rFonts w:ascii="Arial Black" w:hAnsi="Arial Black"/>
          <w:sz w:val="28"/>
          <w:szCs w:val="28"/>
        </w:rPr>
        <w:t>s</w:t>
      </w:r>
      <w:r w:rsidRPr="008668AA">
        <w:rPr>
          <w:rFonts w:ascii="Arial Black" w:hAnsi="Arial Black"/>
          <w:sz w:val="28"/>
          <w:szCs w:val="28"/>
        </w:rPr>
        <w:t xml:space="preserve"> fond</w:t>
      </w:r>
      <w:r>
        <w:rPr>
          <w:rFonts w:ascii="Arial Black" w:hAnsi="Arial Black"/>
          <w:sz w:val="28"/>
          <w:szCs w:val="28"/>
        </w:rPr>
        <w:t>s propres</w:t>
      </w:r>
      <w:r w:rsidRPr="008668AA">
        <w:rPr>
          <w:rFonts w:ascii="Arial Black" w:hAnsi="Arial Black"/>
          <w:sz w:val="28"/>
          <w:szCs w:val="28"/>
        </w:rPr>
        <w:t xml:space="preserve"> </w:t>
      </w:r>
      <w:r>
        <w:rPr>
          <w:rFonts w:ascii="Arial Black" w:hAnsi="Arial Black"/>
          <w:sz w:val="28"/>
          <w:szCs w:val="28"/>
        </w:rPr>
        <w:t xml:space="preserve">ou patrimoniaux </w:t>
      </w:r>
      <w:r w:rsidRPr="008668AA">
        <w:rPr>
          <w:rFonts w:ascii="Arial Black" w:hAnsi="Arial Black"/>
          <w:sz w:val="28"/>
          <w:szCs w:val="28"/>
        </w:rPr>
        <w:t>nets et l’ensemble des risques que les EMF encourent du fait de leurs Operations avec des bénéficiaires ayant reçu chacun des concours supérieurs à une certaine proportion des fond</w:t>
      </w:r>
      <w:r>
        <w:rPr>
          <w:rFonts w:ascii="Arial Black" w:hAnsi="Arial Black"/>
          <w:sz w:val="28"/>
          <w:szCs w:val="28"/>
        </w:rPr>
        <w:t>s</w:t>
      </w:r>
      <w:r w:rsidRPr="008668AA">
        <w:rPr>
          <w:rFonts w:ascii="Arial Black" w:hAnsi="Arial Black"/>
          <w:sz w:val="28"/>
          <w:szCs w:val="28"/>
        </w:rPr>
        <w:t xml:space="preserve"> propres </w:t>
      </w:r>
      <w:r>
        <w:rPr>
          <w:rFonts w:ascii="Arial Black" w:hAnsi="Arial Black"/>
          <w:sz w:val="28"/>
          <w:szCs w:val="28"/>
        </w:rPr>
        <w:t xml:space="preserve">ou patrimoniaux </w:t>
      </w:r>
      <w:r w:rsidRPr="008668AA">
        <w:rPr>
          <w:rFonts w:ascii="Arial Black" w:hAnsi="Arial Black"/>
          <w:sz w:val="28"/>
          <w:szCs w:val="28"/>
        </w:rPr>
        <w:t>nets.</w:t>
      </w:r>
      <w:proofErr w:type="gramEnd"/>
      <w:r w:rsidRPr="008668AA">
        <w:rPr>
          <w:rFonts w:ascii="Arial Black" w:hAnsi="Arial Black"/>
          <w:sz w:val="28"/>
          <w:szCs w:val="28"/>
        </w:rPr>
        <w:t xml:space="preserve"> Ainsi, le montant total des risque</w:t>
      </w:r>
      <w:r>
        <w:rPr>
          <w:rFonts w:ascii="Arial Black" w:hAnsi="Arial Black"/>
          <w:sz w:val="28"/>
          <w:szCs w:val="28"/>
        </w:rPr>
        <w:t>s</w:t>
      </w:r>
      <w:r w:rsidRPr="008668AA">
        <w:rPr>
          <w:rFonts w:ascii="Arial Black" w:hAnsi="Arial Black"/>
          <w:sz w:val="28"/>
          <w:szCs w:val="28"/>
        </w:rPr>
        <w:t xml:space="preserve"> </w:t>
      </w:r>
      <w:r w:rsidRPr="008668AA">
        <w:rPr>
          <w:rFonts w:ascii="Arial Black" w:hAnsi="Arial Black"/>
          <w:sz w:val="28"/>
          <w:szCs w:val="28"/>
        </w:rPr>
        <w:lastRenderedPageBreak/>
        <w:t>encour</w:t>
      </w:r>
      <w:r>
        <w:rPr>
          <w:rFonts w:ascii="Arial Black" w:hAnsi="Arial Black"/>
          <w:sz w:val="28"/>
          <w:szCs w:val="28"/>
        </w:rPr>
        <w:t>u</w:t>
      </w:r>
      <w:r w:rsidRPr="008668AA">
        <w:rPr>
          <w:rFonts w:ascii="Arial Black" w:hAnsi="Arial Black"/>
          <w:sz w:val="28"/>
          <w:szCs w:val="28"/>
        </w:rPr>
        <w:t>s sur ces même</w:t>
      </w:r>
      <w:r>
        <w:rPr>
          <w:rFonts w:ascii="Arial Black" w:hAnsi="Arial Black"/>
          <w:sz w:val="28"/>
          <w:szCs w:val="28"/>
        </w:rPr>
        <w:t>s</w:t>
      </w:r>
      <w:r w:rsidRPr="008668AA">
        <w:rPr>
          <w:rFonts w:ascii="Arial Black" w:hAnsi="Arial Black"/>
          <w:sz w:val="28"/>
          <w:szCs w:val="28"/>
        </w:rPr>
        <w:t xml:space="preserve"> bénéficiaires n’excède pas 15% des fonds patrimoniaux</w:t>
      </w:r>
      <w:r>
        <w:rPr>
          <w:rFonts w:ascii="Arial Black" w:hAnsi="Arial Black"/>
          <w:sz w:val="28"/>
          <w:szCs w:val="28"/>
        </w:rPr>
        <w:t xml:space="preserve"> nets</w:t>
      </w:r>
      <w:r w:rsidRPr="008668AA">
        <w:rPr>
          <w:rFonts w:ascii="Arial Black" w:hAnsi="Arial Black"/>
          <w:sz w:val="28"/>
          <w:szCs w:val="28"/>
        </w:rPr>
        <w:t xml:space="preserve"> pour les EMF de 1</w:t>
      </w:r>
      <w:r w:rsidRPr="008668AA">
        <w:rPr>
          <w:rFonts w:ascii="Arial Black" w:hAnsi="Arial Black"/>
          <w:sz w:val="28"/>
          <w:szCs w:val="28"/>
          <w:vertAlign w:val="superscript"/>
        </w:rPr>
        <w:t>e</w:t>
      </w:r>
      <w:r w:rsidRPr="008668AA">
        <w:rPr>
          <w:rFonts w:ascii="Arial Black" w:hAnsi="Arial Black"/>
          <w:sz w:val="28"/>
          <w:szCs w:val="28"/>
        </w:rPr>
        <w:t xml:space="preserve"> catégorie et 25% des fond</w:t>
      </w:r>
      <w:r>
        <w:rPr>
          <w:rFonts w:ascii="Arial Black" w:hAnsi="Arial Black"/>
          <w:sz w:val="28"/>
          <w:szCs w:val="28"/>
        </w:rPr>
        <w:t>s</w:t>
      </w:r>
      <w:r w:rsidRPr="008668AA">
        <w:rPr>
          <w:rFonts w:ascii="Arial Black" w:hAnsi="Arial Black"/>
          <w:sz w:val="28"/>
          <w:szCs w:val="28"/>
        </w:rPr>
        <w:t xml:space="preserve"> propres net</w:t>
      </w:r>
      <w:r>
        <w:rPr>
          <w:rFonts w:ascii="Arial Black" w:hAnsi="Arial Black"/>
          <w:sz w:val="28"/>
          <w:szCs w:val="28"/>
        </w:rPr>
        <w:t>s pour les EMF de</w:t>
      </w:r>
      <w:r w:rsidRPr="008668AA">
        <w:rPr>
          <w:rFonts w:ascii="Arial Black" w:hAnsi="Arial Black"/>
          <w:sz w:val="28"/>
          <w:szCs w:val="28"/>
        </w:rPr>
        <w:t xml:space="preserve"> 2</w:t>
      </w:r>
      <w:r w:rsidRPr="008668AA">
        <w:rPr>
          <w:rFonts w:ascii="Arial Black" w:hAnsi="Arial Black"/>
          <w:sz w:val="28"/>
          <w:szCs w:val="28"/>
          <w:vertAlign w:val="superscript"/>
        </w:rPr>
        <w:t>e</w:t>
      </w:r>
      <w:r w:rsidRPr="008668AA">
        <w:rPr>
          <w:rFonts w:ascii="Arial Black" w:hAnsi="Arial Black"/>
          <w:sz w:val="28"/>
          <w:szCs w:val="28"/>
        </w:rPr>
        <w:t xml:space="preserve"> catégorie</w:t>
      </w:r>
      <w:r>
        <w:rPr>
          <w:rFonts w:ascii="Arial Black" w:hAnsi="Arial Black"/>
          <w:sz w:val="28"/>
          <w:szCs w:val="28"/>
        </w:rPr>
        <w:t xml:space="preserve"> (norme individuelle)</w:t>
      </w:r>
      <w:r w:rsidRPr="008668AA">
        <w:rPr>
          <w:rFonts w:ascii="Arial Black" w:hAnsi="Arial Black"/>
          <w:sz w:val="28"/>
          <w:szCs w:val="28"/>
        </w:rPr>
        <w:t>. Bien plus, le montant total des risques encour</w:t>
      </w:r>
      <w:r>
        <w:rPr>
          <w:rFonts w:ascii="Arial Black" w:hAnsi="Arial Black"/>
          <w:sz w:val="28"/>
          <w:szCs w:val="28"/>
        </w:rPr>
        <w:t>u</w:t>
      </w:r>
      <w:r w:rsidRPr="008668AA">
        <w:rPr>
          <w:rFonts w:ascii="Arial Black" w:hAnsi="Arial Black"/>
          <w:sz w:val="28"/>
          <w:szCs w:val="28"/>
        </w:rPr>
        <w:t>es sur les bénéficiaires dont les engagements dépassent pour chacun d’entre eux 10% des fond</w:t>
      </w:r>
      <w:r>
        <w:rPr>
          <w:rFonts w:ascii="Arial Black" w:hAnsi="Arial Black"/>
          <w:sz w:val="28"/>
          <w:szCs w:val="28"/>
        </w:rPr>
        <w:t>s</w:t>
      </w:r>
      <w:r w:rsidRPr="008668AA">
        <w:rPr>
          <w:rFonts w:ascii="Arial Black" w:hAnsi="Arial Black"/>
          <w:sz w:val="28"/>
          <w:szCs w:val="28"/>
        </w:rPr>
        <w:t xml:space="preserve"> propres nets pour les EMF de 2</w:t>
      </w:r>
      <w:r w:rsidRPr="008668AA">
        <w:rPr>
          <w:rFonts w:ascii="Arial Black" w:hAnsi="Arial Black"/>
          <w:sz w:val="28"/>
          <w:szCs w:val="28"/>
          <w:vertAlign w:val="superscript"/>
        </w:rPr>
        <w:t>e</w:t>
      </w:r>
      <w:r w:rsidRPr="008668AA">
        <w:rPr>
          <w:rFonts w:ascii="Arial Black" w:hAnsi="Arial Black"/>
          <w:sz w:val="28"/>
          <w:szCs w:val="28"/>
        </w:rPr>
        <w:t xml:space="preserve"> catégorie ne doit pas excéder l’octuple des fonds propres nets</w:t>
      </w:r>
      <w:r>
        <w:rPr>
          <w:rFonts w:ascii="Arial Black" w:hAnsi="Arial Black"/>
          <w:sz w:val="28"/>
          <w:szCs w:val="28"/>
        </w:rPr>
        <w:t xml:space="preserve"> (norme globale)</w:t>
      </w:r>
      <w:r w:rsidRPr="008668AA">
        <w:rPr>
          <w:rFonts w:ascii="Arial Black" w:hAnsi="Arial Black"/>
          <w:sz w:val="28"/>
          <w:szCs w:val="28"/>
        </w:rPr>
        <w:t>.</w:t>
      </w:r>
    </w:p>
    <w:p w14:paraId="6632E622" w14:textId="77777777" w:rsidR="001B600E" w:rsidRPr="008668AA" w:rsidRDefault="001B600E" w:rsidP="007768D5">
      <w:pPr>
        <w:pStyle w:val="Paragraphedeliste"/>
        <w:ind w:left="567" w:hanging="283"/>
        <w:jc w:val="both"/>
        <w:rPr>
          <w:rFonts w:ascii="Arial Black" w:hAnsi="Arial Black"/>
          <w:sz w:val="28"/>
          <w:szCs w:val="28"/>
        </w:rPr>
      </w:pPr>
    </w:p>
    <w:p w14:paraId="49B3825D" w14:textId="77777777" w:rsidR="001B600E" w:rsidRDefault="001B600E" w:rsidP="007768D5">
      <w:pPr>
        <w:pStyle w:val="Paragraphedeliste"/>
        <w:numPr>
          <w:ilvl w:val="0"/>
          <w:numId w:val="24"/>
        </w:numPr>
        <w:spacing w:after="200" w:line="276" w:lineRule="auto"/>
        <w:ind w:left="567" w:hanging="283"/>
        <w:jc w:val="both"/>
        <w:rPr>
          <w:rFonts w:ascii="Arial Black" w:hAnsi="Arial Black"/>
          <w:sz w:val="28"/>
          <w:szCs w:val="28"/>
        </w:rPr>
      </w:pPr>
      <w:r w:rsidRPr="008668AA">
        <w:rPr>
          <w:rFonts w:ascii="Arial Black" w:hAnsi="Arial Black"/>
          <w:sz w:val="28"/>
          <w:szCs w:val="28"/>
        </w:rPr>
        <w:t>Le règlement COBAC EMF 2010 relatif aux e</w:t>
      </w:r>
      <w:r>
        <w:rPr>
          <w:rFonts w:ascii="Arial Black" w:hAnsi="Arial Black"/>
          <w:sz w:val="28"/>
          <w:szCs w:val="28"/>
        </w:rPr>
        <w:t>ngagements des EMF en faveur de</w:t>
      </w:r>
      <w:r w:rsidRPr="008668AA">
        <w:rPr>
          <w:rFonts w:ascii="Arial Black" w:hAnsi="Arial Black"/>
          <w:sz w:val="28"/>
          <w:szCs w:val="28"/>
        </w:rPr>
        <w:t xml:space="preserve"> </w:t>
      </w:r>
      <w:r>
        <w:rPr>
          <w:rFonts w:ascii="Arial Black" w:hAnsi="Arial Black"/>
          <w:sz w:val="28"/>
          <w:szCs w:val="28"/>
        </w:rPr>
        <w:t>leurs a</w:t>
      </w:r>
      <w:r w:rsidRPr="008668AA">
        <w:rPr>
          <w:rFonts w:ascii="Arial Black" w:hAnsi="Arial Black"/>
          <w:sz w:val="28"/>
          <w:szCs w:val="28"/>
        </w:rPr>
        <w:t>ctionnaires , administ</w:t>
      </w:r>
      <w:r>
        <w:rPr>
          <w:rFonts w:ascii="Arial Black" w:hAnsi="Arial Black"/>
          <w:sz w:val="28"/>
          <w:szCs w:val="28"/>
        </w:rPr>
        <w:t>rateurs, dirigeants et personnel</w:t>
      </w:r>
      <w:r w:rsidRPr="008668AA">
        <w:rPr>
          <w:rFonts w:ascii="Arial Black" w:hAnsi="Arial Black"/>
          <w:sz w:val="28"/>
          <w:szCs w:val="28"/>
        </w:rPr>
        <w:t xml:space="preserve"> qui fixe ce plafond à 20% des fond</w:t>
      </w:r>
      <w:r>
        <w:rPr>
          <w:rFonts w:ascii="Arial Black" w:hAnsi="Arial Black"/>
          <w:sz w:val="28"/>
          <w:szCs w:val="28"/>
        </w:rPr>
        <w:t>s</w:t>
      </w:r>
      <w:r w:rsidRPr="008668AA">
        <w:rPr>
          <w:rFonts w:ascii="Arial Black" w:hAnsi="Arial Black"/>
          <w:sz w:val="28"/>
          <w:szCs w:val="28"/>
        </w:rPr>
        <w:t xml:space="preserve"> propres nets pour la </w:t>
      </w:r>
      <w:r>
        <w:rPr>
          <w:rFonts w:ascii="Arial Black" w:hAnsi="Arial Black"/>
          <w:sz w:val="28"/>
          <w:szCs w:val="28"/>
        </w:rPr>
        <w:t xml:space="preserve">deuxième </w:t>
      </w:r>
      <w:r w:rsidRPr="008668AA">
        <w:rPr>
          <w:rFonts w:ascii="Arial Black" w:hAnsi="Arial Black"/>
          <w:sz w:val="28"/>
          <w:szCs w:val="28"/>
        </w:rPr>
        <w:t xml:space="preserve"> catégorie et 30% pour la </w:t>
      </w:r>
      <w:r>
        <w:rPr>
          <w:rFonts w:ascii="Arial Black" w:hAnsi="Arial Black"/>
          <w:sz w:val="28"/>
          <w:szCs w:val="28"/>
        </w:rPr>
        <w:t>première</w:t>
      </w:r>
      <w:r w:rsidRPr="008668AA">
        <w:rPr>
          <w:rFonts w:ascii="Arial Black" w:hAnsi="Arial Black"/>
          <w:sz w:val="28"/>
          <w:szCs w:val="28"/>
        </w:rPr>
        <w:t>.</w:t>
      </w:r>
    </w:p>
    <w:p w14:paraId="069D05BA" w14:textId="0959EEC5" w:rsidR="001B600E" w:rsidRDefault="001B600E" w:rsidP="001B600E">
      <w:pPr>
        <w:jc w:val="both"/>
        <w:rPr>
          <w:rFonts w:ascii="Arial Black" w:hAnsi="Arial Black"/>
          <w:sz w:val="28"/>
          <w:szCs w:val="28"/>
        </w:rPr>
      </w:pPr>
      <w:r>
        <w:rPr>
          <w:rFonts w:ascii="Arial Black" w:hAnsi="Arial Black"/>
          <w:sz w:val="28"/>
          <w:szCs w:val="28"/>
        </w:rPr>
        <w:t>Le texte objet de la présente étude précise que les plafonds des crédits sont fixés sans préjudice de l’obligation qui est faite aux EMF de respecter la limitation en matière de risques déterminées dans les textes ci-dessus. Par conséquent, puisqu’il s’agit d’une limitation prudentielle c’est la règle la plus contraignante (la plus prudente) qui devra prévaloir.</w:t>
      </w:r>
    </w:p>
    <w:p w14:paraId="5A29A2AD" w14:textId="77777777" w:rsidR="007768D5" w:rsidRPr="00A32356" w:rsidRDefault="007768D5" w:rsidP="001B600E">
      <w:pPr>
        <w:jc w:val="both"/>
        <w:rPr>
          <w:rFonts w:ascii="Arial Black" w:hAnsi="Arial Black"/>
          <w:sz w:val="28"/>
          <w:szCs w:val="28"/>
        </w:rPr>
      </w:pPr>
    </w:p>
    <w:p w14:paraId="50F15F2D" w14:textId="77777777" w:rsidR="001B600E" w:rsidRPr="00357022" w:rsidRDefault="001B600E" w:rsidP="007768D5">
      <w:pPr>
        <w:ind w:left="567" w:hanging="283"/>
        <w:jc w:val="both"/>
        <w:rPr>
          <w:rFonts w:ascii="Arial Black" w:hAnsi="Arial Black"/>
          <w:b/>
          <w:sz w:val="36"/>
          <w:szCs w:val="36"/>
        </w:rPr>
      </w:pPr>
      <w:r w:rsidRPr="00357022">
        <w:rPr>
          <w:rFonts w:ascii="Arial Black" w:hAnsi="Arial Black"/>
          <w:b/>
          <w:sz w:val="36"/>
          <w:szCs w:val="36"/>
        </w:rPr>
        <w:t>II-2</w:t>
      </w:r>
      <w:r w:rsidRPr="00357022">
        <w:rPr>
          <w:rFonts w:ascii="Arial Black" w:hAnsi="Arial Black"/>
          <w:b/>
          <w:sz w:val="36"/>
          <w:szCs w:val="36"/>
        </w:rPr>
        <w:tab/>
        <w:t>Plafonnement des crédit</w:t>
      </w:r>
      <w:r>
        <w:rPr>
          <w:rFonts w:ascii="Arial Black" w:hAnsi="Arial Black"/>
          <w:b/>
          <w:sz w:val="36"/>
          <w:szCs w:val="36"/>
        </w:rPr>
        <w:t>s dans le R-2017/08</w:t>
      </w:r>
    </w:p>
    <w:p w14:paraId="0A52C003" w14:textId="77777777" w:rsidR="007768D5" w:rsidRDefault="007768D5" w:rsidP="001B600E">
      <w:pPr>
        <w:jc w:val="both"/>
        <w:rPr>
          <w:rFonts w:ascii="Arial Black" w:hAnsi="Arial Black"/>
          <w:sz w:val="28"/>
          <w:szCs w:val="28"/>
        </w:rPr>
      </w:pPr>
    </w:p>
    <w:p w14:paraId="56DD1A70" w14:textId="77777777" w:rsidR="001B600E" w:rsidRPr="008668AA" w:rsidRDefault="001B600E" w:rsidP="001B600E">
      <w:pPr>
        <w:jc w:val="both"/>
        <w:rPr>
          <w:rFonts w:ascii="Arial Black" w:hAnsi="Arial Black"/>
          <w:sz w:val="28"/>
          <w:szCs w:val="28"/>
        </w:rPr>
      </w:pPr>
      <w:r w:rsidRPr="008668AA">
        <w:rPr>
          <w:rFonts w:ascii="Arial Black" w:hAnsi="Arial Black"/>
          <w:sz w:val="28"/>
          <w:szCs w:val="28"/>
        </w:rPr>
        <w:t>La commission</w:t>
      </w:r>
      <w:r>
        <w:rPr>
          <w:rFonts w:ascii="Arial Black" w:hAnsi="Arial Black"/>
          <w:sz w:val="28"/>
          <w:szCs w:val="28"/>
        </w:rPr>
        <w:t xml:space="preserve"> bancaire a estimé que l</w:t>
      </w:r>
      <w:r w:rsidRPr="008668AA">
        <w:rPr>
          <w:rFonts w:ascii="Arial Black" w:hAnsi="Arial Black"/>
          <w:sz w:val="28"/>
          <w:szCs w:val="28"/>
        </w:rPr>
        <w:t>es trois textes</w:t>
      </w:r>
      <w:r>
        <w:rPr>
          <w:rFonts w:ascii="Arial Black" w:hAnsi="Arial Black"/>
          <w:sz w:val="28"/>
          <w:szCs w:val="28"/>
        </w:rPr>
        <w:t xml:space="preserve"> ci-dessus</w:t>
      </w:r>
      <w:r w:rsidRPr="008668AA">
        <w:rPr>
          <w:rFonts w:ascii="Arial Black" w:hAnsi="Arial Black"/>
          <w:sz w:val="28"/>
          <w:szCs w:val="28"/>
        </w:rPr>
        <w:t xml:space="preserve"> sont insuffisants et elle en </w:t>
      </w:r>
      <w:r>
        <w:rPr>
          <w:rFonts w:ascii="Arial Black" w:hAnsi="Arial Black"/>
          <w:sz w:val="28"/>
          <w:szCs w:val="28"/>
        </w:rPr>
        <w:t>ajouté</w:t>
      </w:r>
      <w:r w:rsidRPr="008668AA">
        <w:rPr>
          <w:rFonts w:ascii="Arial Black" w:hAnsi="Arial Black"/>
          <w:sz w:val="28"/>
          <w:szCs w:val="28"/>
        </w:rPr>
        <w:t xml:space="preserve"> un quatrième qui est le règlement COBAC EMF R -2017/08 portant plafonnement du montan</w:t>
      </w:r>
      <w:r>
        <w:rPr>
          <w:rFonts w:ascii="Arial Black" w:hAnsi="Arial Black"/>
          <w:sz w:val="28"/>
          <w:szCs w:val="28"/>
        </w:rPr>
        <w:t>t de crédit accordé par un EMF.</w:t>
      </w:r>
    </w:p>
    <w:p w14:paraId="7B4C1366" w14:textId="77777777" w:rsidR="001B600E" w:rsidRDefault="001B600E" w:rsidP="001B600E">
      <w:pPr>
        <w:jc w:val="both"/>
        <w:rPr>
          <w:rFonts w:ascii="Arial Black" w:hAnsi="Arial Black"/>
          <w:sz w:val="28"/>
          <w:szCs w:val="28"/>
        </w:rPr>
      </w:pPr>
      <w:r>
        <w:rPr>
          <w:rFonts w:ascii="Arial Black" w:hAnsi="Arial Black"/>
          <w:sz w:val="28"/>
          <w:szCs w:val="28"/>
        </w:rPr>
        <w:t>Le</w:t>
      </w:r>
      <w:r w:rsidRPr="008668AA">
        <w:rPr>
          <w:rFonts w:ascii="Arial Black" w:hAnsi="Arial Black"/>
          <w:sz w:val="28"/>
          <w:szCs w:val="28"/>
        </w:rPr>
        <w:t xml:space="preserve">dit </w:t>
      </w:r>
      <w:r>
        <w:rPr>
          <w:rFonts w:ascii="Arial Black" w:hAnsi="Arial Black"/>
          <w:sz w:val="28"/>
          <w:szCs w:val="28"/>
        </w:rPr>
        <w:t>texte</w:t>
      </w:r>
      <w:r w:rsidRPr="008668AA">
        <w:rPr>
          <w:rFonts w:ascii="Arial Black" w:hAnsi="Arial Black"/>
          <w:sz w:val="28"/>
          <w:szCs w:val="28"/>
        </w:rPr>
        <w:t xml:space="preserve"> pla</w:t>
      </w:r>
      <w:r>
        <w:rPr>
          <w:rFonts w:ascii="Arial Black" w:hAnsi="Arial Black"/>
          <w:sz w:val="28"/>
          <w:szCs w:val="28"/>
        </w:rPr>
        <w:t>fonne désormais le crédit qu’un</w:t>
      </w:r>
      <w:r w:rsidRPr="008668AA">
        <w:rPr>
          <w:rFonts w:ascii="Arial Black" w:hAnsi="Arial Black"/>
          <w:sz w:val="28"/>
          <w:szCs w:val="28"/>
        </w:rPr>
        <w:t xml:space="preserve"> EMF peut accorder à un de ses clients à 10% </w:t>
      </w:r>
      <w:r>
        <w:rPr>
          <w:rFonts w:ascii="Arial Black" w:hAnsi="Arial Black"/>
          <w:sz w:val="28"/>
          <w:szCs w:val="28"/>
        </w:rPr>
        <w:t>capital social libéré et non 10% des</w:t>
      </w:r>
      <w:r w:rsidRPr="008668AA">
        <w:rPr>
          <w:rFonts w:ascii="Arial Black" w:hAnsi="Arial Black"/>
          <w:sz w:val="28"/>
          <w:szCs w:val="28"/>
        </w:rPr>
        <w:t xml:space="preserve"> FOND</w:t>
      </w:r>
      <w:r>
        <w:rPr>
          <w:rFonts w:ascii="Arial Black" w:hAnsi="Arial Black"/>
          <w:sz w:val="28"/>
          <w:szCs w:val="28"/>
        </w:rPr>
        <w:t>S</w:t>
      </w:r>
      <w:r w:rsidRPr="008668AA">
        <w:rPr>
          <w:rFonts w:ascii="Arial Black" w:hAnsi="Arial Black"/>
          <w:sz w:val="28"/>
          <w:szCs w:val="28"/>
        </w:rPr>
        <w:t xml:space="preserve"> </w:t>
      </w:r>
      <w:proofErr w:type="gramStart"/>
      <w:r w:rsidRPr="008668AA">
        <w:rPr>
          <w:rFonts w:ascii="Arial Black" w:hAnsi="Arial Black"/>
          <w:sz w:val="28"/>
          <w:szCs w:val="28"/>
        </w:rPr>
        <w:t>PROPRES  ;</w:t>
      </w:r>
      <w:proofErr w:type="gramEnd"/>
      <w:r w:rsidRPr="008668AA">
        <w:rPr>
          <w:rFonts w:ascii="Arial Black" w:hAnsi="Arial Black"/>
          <w:sz w:val="28"/>
          <w:szCs w:val="28"/>
        </w:rPr>
        <w:t xml:space="preserve"> </w:t>
      </w:r>
      <w:r>
        <w:rPr>
          <w:rFonts w:ascii="Arial Black" w:hAnsi="Arial Black"/>
          <w:sz w:val="28"/>
          <w:szCs w:val="28"/>
        </w:rPr>
        <w:t xml:space="preserve">il y a là un profond </w:t>
      </w:r>
      <w:r>
        <w:rPr>
          <w:rFonts w:ascii="Arial Black" w:hAnsi="Arial Black"/>
          <w:sz w:val="28"/>
          <w:szCs w:val="28"/>
        </w:rPr>
        <w:lastRenderedPageBreak/>
        <w:t xml:space="preserve">changement d’autant plus que jusqu’alors la seule limitation était sur la base des fonds propres. C’est ici que la primauté de la règle la plus contraignante prend tout son sens. A juste titre deux cas peuvent se présenter : </w:t>
      </w:r>
    </w:p>
    <w:p w14:paraId="239CDB8E" w14:textId="77777777" w:rsidR="007768D5" w:rsidRDefault="007768D5" w:rsidP="001B600E">
      <w:pPr>
        <w:jc w:val="both"/>
        <w:rPr>
          <w:rFonts w:ascii="Arial Black" w:hAnsi="Arial Black"/>
          <w:sz w:val="28"/>
          <w:szCs w:val="28"/>
        </w:rPr>
      </w:pPr>
    </w:p>
    <w:p w14:paraId="309132A8" w14:textId="77777777" w:rsidR="001B600E" w:rsidRDefault="001B600E" w:rsidP="007768D5">
      <w:pPr>
        <w:pStyle w:val="Paragraphedeliste"/>
        <w:numPr>
          <w:ilvl w:val="0"/>
          <w:numId w:val="28"/>
        </w:numPr>
        <w:spacing w:after="200" w:line="276" w:lineRule="auto"/>
        <w:ind w:left="567" w:hanging="283"/>
        <w:jc w:val="both"/>
        <w:rPr>
          <w:rFonts w:ascii="Arial Black" w:hAnsi="Arial Black"/>
          <w:sz w:val="28"/>
          <w:szCs w:val="28"/>
        </w:rPr>
      </w:pPr>
      <w:r w:rsidRPr="00E11257">
        <w:rPr>
          <w:rFonts w:ascii="Arial Black" w:hAnsi="Arial Black"/>
          <w:sz w:val="28"/>
          <w:szCs w:val="28"/>
        </w:rPr>
        <w:t xml:space="preserve">Le cas des EMF </w:t>
      </w:r>
      <w:r>
        <w:rPr>
          <w:rFonts w:ascii="Arial Black" w:hAnsi="Arial Black"/>
          <w:sz w:val="28"/>
          <w:szCs w:val="28"/>
        </w:rPr>
        <w:t xml:space="preserve">bien gérés </w:t>
      </w:r>
      <w:r w:rsidRPr="00E11257">
        <w:rPr>
          <w:rFonts w:ascii="Arial Black" w:hAnsi="Arial Black"/>
          <w:sz w:val="28"/>
          <w:szCs w:val="28"/>
        </w:rPr>
        <w:t xml:space="preserve">qui font des </w:t>
      </w:r>
      <w:r>
        <w:rPr>
          <w:rFonts w:ascii="Arial Black" w:hAnsi="Arial Black"/>
          <w:sz w:val="28"/>
          <w:szCs w:val="28"/>
        </w:rPr>
        <w:t>bénéfices réels</w:t>
      </w:r>
      <w:r w:rsidRPr="00E11257">
        <w:rPr>
          <w:rFonts w:ascii="Arial Black" w:hAnsi="Arial Black"/>
          <w:sz w:val="28"/>
          <w:szCs w:val="28"/>
        </w:rPr>
        <w:t>, mais qui les maintiennent dans les réserves ou dans les reports à nouveau au lieu de procéder à l’augmentation de leur capital</w:t>
      </w:r>
      <w:r>
        <w:rPr>
          <w:rFonts w:ascii="Arial Black" w:hAnsi="Arial Black"/>
          <w:sz w:val="28"/>
          <w:szCs w:val="28"/>
        </w:rPr>
        <w:t xml:space="preserve"> social</w:t>
      </w:r>
      <w:r w:rsidRPr="00E11257">
        <w:rPr>
          <w:rFonts w:ascii="Arial Black" w:hAnsi="Arial Black"/>
          <w:sz w:val="28"/>
          <w:szCs w:val="28"/>
        </w:rPr>
        <w:t xml:space="preserve"> ; les fonds propres nets desdits EMF seront supérieurs à leur capital </w:t>
      </w:r>
      <w:r>
        <w:rPr>
          <w:rFonts w:ascii="Arial Black" w:hAnsi="Arial Black"/>
          <w:sz w:val="28"/>
          <w:szCs w:val="28"/>
        </w:rPr>
        <w:t xml:space="preserve">social </w:t>
      </w:r>
      <w:r w:rsidRPr="00E11257">
        <w:rPr>
          <w:rFonts w:ascii="Arial Black" w:hAnsi="Arial Black"/>
          <w:sz w:val="28"/>
          <w:szCs w:val="28"/>
        </w:rPr>
        <w:t>et le plafonnement du crédit au niveau de la norme individuel sera 10% du</w:t>
      </w:r>
      <w:r>
        <w:rPr>
          <w:rFonts w:ascii="Arial Black" w:hAnsi="Arial Black"/>
          <w:sz w:val="28"/>
          <w:szCs w:val="28"/>
        </w:rPr>
        <w:t>dit</w:t>
      </w:r>
      <w:r w:rsidRPr="00E11257">
        <w:rPr>
          <w:rFonts w:ascii="Arial Black" w:hAnsi="Arial Black"/>
          <w:sz w:val="28"/>
          <w:szCs w:val="28"/>
        </w:rPr>
        <w:t xml:space="preserve"> capital</w:t>
      </w:r>
      <w:r>
        <w:rPr>
          <w:rFonts w:ascii="Arial Black" w:hAnsi="Arial Black"/>
          <w:sz w:val="28"/>
          <w:szCs w:val="28"/>
        </w:rPr>
        <w:t>.</w:t>
      </w:r>
    </w:p>
    <w:p w14:paraId="4D512196" w14:textId="0D0FF6A1" w:rsidR="001B600E" w:rsidRPr="00E11257" w:rsidRDefault="001B600E" w:rsidP="007768D5">
      <w:pPr>
        <w:pStyle w:val="Paragraphedeliste"/>
        <w:numPr>
          <w:ilvl w:val="0"/>
          <w:numId w:val="28"/>
        </w:numPr>
        <w:spacing w:after="200" w:line="276" w:lineRule="auto"/>
        <w:ind w:left="567" w:hanging="283"/>
        <w:jc w:val="both"/>
        <w:rPr>
          <w:rFonts w:ascii="Arial Black" w:hAnsi="Arial Black"/>
          <w:sz w:val="28"/>
          <w:szCs w:val="28"/>
        </w:rPr>
      </w:pPr>
      <w:r>
        <w:rPr>
          <w:rFonts w:ascii="Arial Black" w:hAnsi="Arial Black"/>
          <w:sz w:val="28"/>
          <w:szCs w:val="28"/>
        </w:rPr>
        <w:t xml:space="preserve">Le cas des EMF qui sont mal gérés et qui font des pertes, ce qui va entrainer logiquement la baisse de leurs capitaux propres nets, lesquels deviendront </w:t>
      </w:r>
      <w:r w:rsidRPr="00E11257">
        <w:rPr>
          <w:rFonts w:ascii="Arial Black" w:hAnsi="Arial Black"/>
          <w:sz w:val="28"/>
          <w:szCs w:val="28"/>
        </w:rPr>
        <w:t>alors</w:t>
      </w:r>
      <w:r>
        <w:rPr>
          <w:rFonts w:ascii="Arial Black" w:hAnsi="Arial Black"/>
          <w:sz w:val="28"/>
          <w:szCs w:val="28"/>
        </w:rPr>
        <w:t xml:space="preserve"> inférieurs au capital social libéré.</w:t>
      </w:r>
      <w:r w:rsidRPr="00E11257">
        <w:rPr>
          <w:rFonts w:ascii="Arial Black" w:hAnsi="Arial Black"/>
          <w:sz w:val="28"/>
          <w:szCs w:val="28"/>
        </w:rPr>
        <w:t xml:space="preserve"> </w:t>
      </w:r>
      <w:r>
        <w:rPr>
          <w:rFonts w:ascii="Arial Black" w:hAnsi="Arial Black"/>
          <w:sz w:val="28"/>
          <w:szCs w:val="28"/>
        </w:rPr>
        <w:t xml:space="preserve">En fonction du niveau de dégradation atteint par les fonds propres, le plafonnement se ferait sur </w:t>
      </w:r>
      <w:r w:rsidR="007768D5">
        <w:rPr>
          <w:rFonts w:ascii="Arial Black" w:hAnsi="Arial Black"/>
          <w:sz w:val="28"/>
          <w:szCs w:val="28"/>
        </w:rPr>
        <w:t xml:space="preserve">la base des fonds propres nets </w:t>
      </w:r>
      <w:r>
        <w:rPr>
          <w:rFonts w:ascii="Arial Black" w:hAnsi="Arial Black"/>
          <w:sz w:val="28"/>
          <w:szCs w:val="28"/>
        </w:rPr>
        <w:t>au du capital social</w:t>
      </w:r>
      <w:r w:rsidR="007768D5">
        <w:rPr>
          <w:rFonts w:ascii="Arial Black" w:hAnsi="Arial Black"/>
          <w:sz w:val="28"/>
          <w:szCs w:val="28"/>
        </w:rPr>
        <w:t>.</w:t>
      </w:r>
    </w:p>
    <w:p w14:paraId="3C824711" w14:textId="77777777" w:rsidR="001B600E" w:rsidRDefault="001B600E" w:rsidP="001B600E">
      <w:pPr>
        <w:jc w:val="both"/>
        <w:rPr>
          <w:rFonts w:ascii="Arial Black" w:hAnsi="Arial Black"/>
          <w:sz w:val="28"/>
          <w:szCs w:val="28"/>
        </w:rPr>
      </w:pPr>
      <w:r>
        <w:rPr>
          <w:rFonts w:ascii="Arial Black" w:hAnsi="Arial Black"/>
          <w:sz w:val="28"/>
          <w:szCs w:val="28"/>
        </w:rPr>
        <w:t>La meilleure pratique ici devra être une bonne corrélation entre le capital social libéré et les fonds propres nets.</w:t>
      </w:r>
    </w:p>
    <w:p w14:paraId="6CED2D44" w14:textId="77777777" w:rsidR="001B600E" w:rsidRPr="008668AA" w:rsidRDefault="001B600E" w:rsidP="001B600E">
      <w:pPr>
        <w:jc w:val="both"/>
        <w:rPr>
          <w:rFonts w:ascii="Arial Black" w:hAnsi="Arial Black"/>
          <w:sz w:val="28"/>
          <w:szCs w:val="28"/>
        </w:rPr>
      </w:pPr>
      <w:r>
        <w:rPr>
          <w:rFonts w:ascii="Arial Black" w:hAnsi="Arial Black"/>
          <w:sz w:val="28"/>
          <w:szCs w:val="28"/>
        </w:rPr>
        <w:t>Le règlement</w:t>
      </w:r>
      <w:r w:rsidRPr="008668AA">
        <w:rPr>
          <w:rFonts w:ascii="Arial Black" w:hAnsi="Arial Black"/>
          <w:sz w:val="28"/>
          <w:szCs w:val="28"/>
        </w:rPr>
        <w:t xml:space="preserve"> plafonne </w:t>
      </w:r>
      <w:r>
        <w:rPr>
          <w:rFonts w:ascii="Arial Black" w:hAnsi="Arial Black"/>
          <w:sz w:val="28"/>
          <w:szCs w:val="28"/>
        </w:rPr>
        <w:t>également</w:t>
      </w:r>
      <w:r w:rsidRPr="008668AA">
        <w:rPr>
          <w:rFonts w:ascii="Arial Black" w:hAnsi="Arial Black"/>
          <w:sz w:val="28"/>
          <w:szCs w:val="28"/>
        </w:rPr>
        <w:t xml:space="preserve"> à 50 million le montant du crédit à</w:t>
      </w:r>
      <w:r>
        <w:rPr>
          <w:rFonts w:ascii="Arial Black" w:hAnsi="Arial Black"/>
          <w:sz w:val="28"/>
          <w:szCs w:val="28"/>
        </w:rPr>
        <w:t xml:space="preserve"> accorder</w:t>
      </w:r>
      <w:r w:rsidRPr="008668AA">
        <w:rPr>
          <w:rFonts w:ascii="Arial Black" w:hAnsi="Arial Black"/>
          <w:sz w:val="28"/>
          <w:szCs w:val="28"/>
        </w:rPr>
        <w:t xml:space="preserve"> </w:t>
      </w:r>
      <w:r>
        <w:rPr>
          <w:rFonts w:ascii="Arial Black" w:hAnsi="Arial Black"/>
          <w:sz w:val="28"/>
          <w:szCs w:val="28"/>
        </w:rPr>
        <w:t xml:space="preserve">à </w:t>
      </w:r>
      <w:r w:rsidRPr="008668AA">
        <w:rPr>
          <w:rFonts w:ascii="Arial Black" w:hAnsi="Arial Black"/>
          <w:sz w:val="28"/>
          <w:szCs w:val="28"/>
        </w:rPr>
        <w:t>un de ses actionnaires, coopérateurs, administrateurs, dirigeants ou employés</w:t>
      </w:r>
      <w:r>
        <w:rPr>
          <w:rFonts w:ascii="Arial Black" w:hAnsi="Arial Black"/>
          <w:sz w:val="28"/>
          <w:szCs w:val="28"/>
        </w:rPr>
        <w:t xml:space="preserve"> sous réserve du respect de la primauté de la règle la plus contraignante</w:t>
      </w:r>
      <w:r w:rsidRPr="008668AA">
        <w:rPr>
          <w:rFonts w:ascii="Arial Black" w:hAnsi="Arial Black"/>
          <w:sz w:val="28"/>
          <w:szCs w:val="28"/>
        </w:rPr>
        <w:t>.</w:t>
      </w:r>
    </w:p>
    <w:p w14:paraId="61EE7E97" w14:textId="77777777" w:rsidR="001B600E" w:rsidRDefault="001B600E" w:rsidP="001B600E">
      <w:pPr>
        <w:jc w:val="both"/>
        <w:rPr>
          <w:rFonts w:ascii="Arial Black" w:hAnsi="Arial Black"/>
          <w:sz w:val="28"/>
          <w:szCs w:val="28"/>
        </w:rPr>
      </w:pPr>
      <w:r>
        <w:rPr>
          <w:rFonts w:ascii="Arial Black" w:hAnsi="Arial Black"/>
          <w:sz w:val="28"/>
          <w:szCs w:val="28"/>
        </w:rPr>
        <w:t>La date d’entrée en vigueur de ce texte est particulièrement interpellatrice. Cette date est fixée au 1</w:t>
      </w:r>
      <w:r w:rsidRPr="00AC5169">
        <w:rPr>
          <w:rFonts w:ascii="Arial Black" w:hAnsi="Arial Black"/>
          <w:sz w:val="28"/>
          <w:szCs w:val="28"/>
          <w:vertAlign w:val="superscript"/>
        </w:rPr>
        <w:t>e</w:t>
      </w:r>
      <w:r>
        <w:rPr>
          <w:rFonts w:ascii="Arial Black" w:hAnsi="Arial Black"/>
          <w:sz w:val="28"/>
          <w:szCs w:val="28"/>
        </w:rPr>
        <w:t xml:space="preserve"> juillet 2018 c’est à dire moins d’un mois après sa signature et sa vulgarisation</w:t>
      </w:r>
      <w:r w:rsidRPr="008668AA">
        <w:rPr>
          <w:rFonts w:ascii="Arial Black" w:hAnsi="Arial Black"/>
          <w:sz w:val="28"/>
          <w:szCs w:val="28"/>
        </w:rPr>
        <w:t>.</w:t>
      </w:r>
      <w:r>
        <w:rPr>
          <w:rFonts w:ascii="Arial Black" w:hAnsi="Arial Black"/>
          <w:sz w:val="28"/>
          <w:szCs w:val="28"/>
        </w:rPr>
        <w:t xml:space="preserve"> </w:t>
      </w:r>
    </w:p>
    <w:p w14:paraId="157B4E7C" w14:textId="77777777" w:rsidR="001B600E" w:rsidRDefault="001B600E" w:rsidP="001B600E">
      <w:pPr>
        <w:jc w:val="both"/>
        <w:rPr>
          <w:rFonts w:ascii="Arial Black" w:hAnsi="Arial Black"/>
          <w:sz w:val="28"/>
          <w:szCs w:val="28"/>
        </w:rPr>
      </w:pPr>
      <w:r>
        <w:rPr>
          <w:rFonts w:ascii="Arial Black" w:hAnsi="Arial Black"/>
          <w:sz w:val="28"/>
          <w:szCs w:val="28"/>
        </w:rPr>
        <w:tab/>
      </w:r>
    </w:p>
    <w:p w14:paraId="367EA68A" w14:textId="77777777" w:rsidR="001B600E" w:rsidRDefault="001B600E" w:rsidP="001B600E">
      <w:pPr>
        <w:rPr>
          <w:rFonts w:ascii="Arial Black" w:hAnsi="Arial Black"/>
          <w:sz w:val="40"/>
          <w:szCs w:val="40"/>
        </w:rPr>
      </w:pPr>
      <w:r>
        <w:rPr>
          <w:rFonts w:ascii="Arial Black" w:hAnsi="Arial Black"/>
          <w:sz w:val="40"/>
          <w:szCs w:val="40"/>
        </w:rPr>
        <w:br w:type="page"/>
      </w:r>
    </w:p>
    <w:p w14:paraId="33C7DE84" w14:textId="77777777" w:rsidR="001B600E" w:rsidRDefault="001B600E" w:rsidP="007768D5">
      <w:pPr>
        <w:ind w:firstLine="2"/>
        <w:jc w:val="center"/>
        <w:rPr>
          <w:rFonts w:ascii="Arial Black" w:hAnsi="Arial Black"/>
          <w:sz w:val="40"/>
          <w:szCs w:val="40"/>
        </w:rPr>
      </w:pPr>
      <w:r w:rsidRPr="00AC5169">
        <w:rPr>
          <w:rFonts w:ascii="Arial Black" w:hAnsi="Arial Black"/>
          <w:sz w:val="40"/>
          <w:szCs w:val="40"/>
        </w:rPr>
        <w:lastRenderedPageBreak/>
        <w:t>CONCLUSION</w:t>
      </w:r>
    </w:p>
    <w:p w14:paraId="387536D6" w14:textId="77777777" w:rsidR="007768D5" w:rsidRDefault="007768D5" w:rsidP="001B600E">
      <w:pPr>
        <w:jc w:val="both"/>
        <w:rPr>
          <w:rFonts w:ascii="Arial Black" w:hAnsi="Arial Black"/>
          <w:sz w:val="28"/>
          <w:szCs w:val="28"/>
        </w:rPr>
      </w:pPr>
    </w:p>
    <w:p w14:paraId="15B03463" w14:textId="03C57A00" w:rsidR="001B600E" w:rsidRPr="00AD1BE7" w:rsidRDefault="001B600E" w:rsidP="001B600E">
      <w:pPr>
        <w:jc w:val="both"/>
        <w:rPr>
          <w:rFonts w:ascii="Arial Black" w:hAnsi="Arial Black"/>
          <w:sz w:val="28"/>
          <w:szCs w:val="28"/>
        </w:rPr>
      </w:pPr>
      <w:r w:rsidRPr="00AD1BE7">
        <w:rPr>
          <w:rFonts w:ascii="Arial Black" w:hAnsi="Arial Black"/>
          <w:sz w:val="28"/>
          <w:szCs w:val="28"/>
        </w:rPr>
        <w:t>Nonobstant quelques coquilles, notamment celle de l’article 17 relative à la référence sur l’article 18 précisant les garanties admises, les textes que nous venons de présenter semblent mettre en harmonie le dispositif d’évaluation et de maitrise du risque dans les EMF avec la réalité et les enjeux de ladite activité aujourd’hui. Nous espérons que les acteurs de la microfinance vont se les approprier afin d’améliorer la santé du secteur et par ricochet, booster la contribution des EMF à l’émergence des Etats de la CEMAC.</w:t>
      </w:r>
    </w:p>
    <w:p w14:paraId="23D689EA" w14:textId="77777777" w:rsidR="001B600E" w:rsidRPr="00AD1BE7" w:rsidRDefault="001B600E" w:rsidP="001B600E">
      <w:pPr>
        <w:jc w:val="both"/>
        <w:rPr>
          <w:rFonts w:ascii="Arial Black" w:hAnsi="Arial Black"/>
          <w:sz w:val="28"/>
          <w:szCs w:val="28"/>
        </w:rPr>
      </w:pPr>
    </w:p>
    <w:p w14:paraId="7875A893" w14:textId="77777777" w:rsidR="001B600E" w:rsidRDefault="001B600E" w:rsidP="001B600E">
      <w:pPr>
        <w:jc w:val="both"/>
        <w:rPr>
          <w:rFonts w:ascii="Arial Black" w:hAnsi="Arial Black"/>
          <w:sz w:val="40"/>
          <w:szCs w:val="40"/>
        </w:rPr>
      </w:pPr>
      <w:bookmarkStart w:id="0" w:name="_GoBack"/>
      <w:bookmarkEnd w:id="0"/>
    </w:p>
    <w:p w14:paraId="54D1160C" w14:textId="49E605B3" w:rsidR="001B600E" w:rsidRPr="00AD1BE7" w:rsidRDefault="001B600E" w:rsidP="007768D5">
      <w:pPr>
        <w:jc w:val="center"/>
        <w:rPr>
          <w:rFonts w:ascii="Arial Black" w:hAnsi="Arial Black"/>
          <w:sz w:val="48"/>
          <w:szCs w:val="48"/>
        </w:rPr>
      </w:pPr>
      <w:r w:rsidRPr="00AD1BE7">
        <w:rPr>
          <w:rFonts w:ascii="Arial Black" w:hAnsi="Arial Black"/>
          <w:sz w:val="48"/>
          <w:szCs w:val="48"/>
        </w:rPr>
        <w:t>JE VOUS REMERCIE</w:t>
      </w:r>
    </w:p>
    <w:p w14:paraId="1E780E1E" w14:textId="77777777" w:rsidR="001B600E" w:rsidRPr="00330C88" w:rsidRDefault="001B600E" w:rsidP="00330C88">
      <w:pPr>
        <w:keepNext/>
        <w:widowControl w:val="0"/>
        <w:suppressAutoHyphens/>
        <w:spacing w:after="120" w:line="276" w:lineRule="auto"/>
        <w:ind w:right="-2" w:firstLine="567"/>
        <w:jc w:val="both"/>
        <w:rPr>
          <w:rFonts w:eastAsia="+mn-ea"/>
          <w:bCs/>
          <w:sz w:val="26"/>
          <w:szCs w:val="26"/>
        </w:rPr>
      </w:pPr>
    </w:p>
    <w:sectPr w:rsidR="001B600E" w:rsidRPr="00330C88" w:rsidSect="00264E49">
      <w:headerReference w:type="default" r:id="rId9"/>
      <w:footerReference w:type="default" r:id="rId10"/>
      <w:pgSz w:w="11906" w:h="16838" w:code="9"/>
      <w:pgMar w:top="1128" w:right="1134" w:bottom="851" w:left="1418" w:header="737" w:footer="73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1E951" w15:done="0"/>
  <w15:commentEx w15:paraId="3920B12D" w15:done="0"/>
  <w15:commentEx w15:paraId="3639E2A4" w15:done="0"/>
  <w15:commentEx w15:paraId="65B87881" w15:done="0"/>
  <w15:commentEx w15:paraId="70F3DF47" w15:done="0"/>
  <w15:commentEx w15:paraId="56C98E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2F2AC" w14:textId="77777777" w:rsidR="007537A2" w:rsidRDefault="007537A2">
      <w:r>
        <w:separator/>
      </w:r>
    </w:p>
  </w:endnote>
  <w:endnote w:type="continuationSeparator" w:id="0">
    <w:p w14:paraId="3190EDA7" w14:textId="77777777" w:rsidR="007537A2" w:rsidRDefault="0075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54108"/>
      <w:docPartObj>
        <w:docPartGallery w:val="Page Numbers (Bottom of Page)"/>
        <w:docPartUnique/>
      </w:docPartObj>
    </w:sdtPr>
    <w:sdtEndPr/>
    <w:sdtContent>
      <w:p w14:paraId="64E0574D" w14:textId="3DFD6E2F" w:rsidR="008D7AC0" w:rsidRPr="00A711AF" w:rsidRDefault="00C66CA4" w:rsidP="00A711AF">
        <w:pPr>
          <w:pStyle w:val="Pieddepage"/>
          <w:pBdr>
            <w:top w:val="single" w:sz="4" w:space="1" w:color="auto"/>
          </w:pBdr>
          <w:tabs>
            <w:tab w:val="clear" w:pos="4536"/>
            <w:tab w:val="clear" w:pos="9072"/>
          </w:tabs>
          <w:ind w:left="284" w:right="1700" w:hanging="284"/>
          <w:jc w:val="both"/>
          <w:rPr>
            <w:i/>
            <w:sz w:val="18"/>
            <w:szCs w:val="18"/>
          </w:rPr>
        </w:pPr>
        <w:r>
          <w:object w:dxaOrig="571" w:dyaOrig="1106" w14:anchorId="43F9D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1" o:title=""/>
            </v:shape>
            <o:OLEObject Type="Embed" ProgID="Word.Picture.8" ShapeID="_x0000_i1025" DrawAspect="Content" ObjectID="_1591179885" r:id="rId2"/>
          </w:object>
        </w:r>
        <w:r w:rsidR="00AF129A">
          <w:rPr>
            <w:i/>
            <w:sz w:val="18"/>
            <w:szCs w:val="18"/>
          </w:rPr>
          <w:t xml:space="preserve"> Exposé de Monsieur </w:t>
        </w:r>
        <w:r w:rsidR="001B600E" w:rsidRPr="001B600E">
          <w:rPr>
            <w:i/>
            <w:sz w:val="18"/>
            <w:szCs w:val="18"/>
          </w:rPr>
          <w:t xml:space="preserve">Rollin OMBANG EKATH </w:t>
        </w:r>
        <w:r w:rsidR="00C43030">
          <w:rPr>
            <w:i/>
            <w:sz w:val="18"/>
            <w:szCs w:val="18"/>
          </w:rPr>
          <w:t xml:space="preserve">(DG </w:t>
        </w:r>
        <w:r w:rsidR="001B600E">
          <w:rPr>
            <w:i/>
            <w:sz w:val="18"/>
            <w:szCs w:val="18"/>
          </w:rPr>
          <w:t>LA REGIONALE</w:t>
        </w:r>
        <w:r w:rsidR="00C43030">
          <w:rPr>
            <w:i/>
            <w:sz w:val="18"/>
            <w:szCs w:val="18"/>
          </w:rPr>
          <w:t>)</w:t>
        </w:r>
        <w:r w:rsidR="00AF129A">
          <w:rPr>
            <w:i/>
            <w:sz w:val="18"/>
            <w:szCs w:val="18"/>
          </w:rPr>
          <w:t xml:space="preserve"> </w:t>
        </w:r>
        <w:r w:rsidR="007537A2">
          <w:rPr>
            <w:noProof/>
            <w:sz w:val="20"/>
            <w:szCs w:val="20"/>
          </w:rPr>
          <w:pict w14:anchorId="6350E61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50" type="#_x0000_t65" style="position:absolute;left:0;text-align:left;margin-left:0;margin-top:0;width:29pt;height:21.6pt;z-index:25166643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style="mso-next-textbox:#Forme automatique 1">
                <w:txbxContent>
                  <w:p w14:paraId="5B8ADBFB" w14:textId="77777777" w:rsidR="00C66CA4" w:rsidRDefault="00B64141" w:rsidP="007B260C">
                    <w:pPr>
                      <w:jc w:val="center"/>
                    </w:pPr>
                    <w:r>
                      <w:rPr>
                        <w:sz w:val="22"/>
                        <w:szCs w:val="22"/>
                      </w:rPr>
                      <w:fldChar w:fldCharType="begin"/>
                    </w:r>
                    <w:r w:rsidR="00C66CA4">
                      <w:instrText>PAGE    \* MERGEFORMAT</w:instrText>
                    </w:r>
                    <w:r>
                      <w:rPr>
                        <w:sz w:val="22"/>
                        <w:szCs w:val="22"/>
                      </w:rPr>
                      <w:fldChar w:fldCharType="separate"/>
                    </w:r>
                    <w:r w:rsidR="007768D5" w:rsidRPr="007768D5">
                      <w:rPr>
                        <w:noProof/>
                        <w:sz w:val="16"/>
                        <w:szCs w:val="16"/>
                      </w:rPr>
                      <w:t>13</w:t>
                    </w:r>
                    <w:r>
                      <w:rPr>
                        <w:sz w:val="16"/>
                        <w:szCs w:val="16"/>
                      </w:rPr>
                      <w:fldChar w:fldCharType="end"/>
                    </w:r>
                  </w:p>
                </w:txbxContent>
              </v:textbox>
              <w10:wrap anchorx="margin" anchory="margin"/>
            </v:shape>
          </w:pict>
        </w:r>
        <w:r w:rsidR="00AF129A">
          <w:rPr>
            <w:i/>
            <w:sz w:val="18"/>
            <w:szCs w:val="18"/>
          </w:rPr>
          <w:t xml:space="preserve"> – Yaoundé, le 26 juin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5D21" w14:textId="77777777" w:rsidR="007537A2" w:rsidRDefault="007537A2">
      <w:r>
        <w:separator/>
      </w:r>
    </w:p>
  </w:footnote>
  <w:footnote w:type="continuationSeparator" w:id="0">
    <w:p w14:paraId="12FFB9FD" w14:textId="77777777" w:rsidR="007537A2" w:rsidRDefault="0075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171E" w14:textId="77777777" w:rsidR="00AF129A" w:rsidRDefault="00AF129A" w:rsidP="00AF129A">
    <w:pPr>
      <w:pStyle w:val="En-tte"/>
      <w:pBdr>
        <w:bottom w:val="single" w:sz="4" w:space="0" w:color="auto"/>
      </w:pBdr>
      <w:jc w:val="center"/>
      <w:rPr>
        <w:i/>
        <w:sz w:val="16"/>
        <w:szCs w:val="18"/>
      </w:rPr>
    </w:pPr>
    <w:r w:rsidRPr="00AF129A">
      <w:rPr>
        <w:i/>
        <w:sz w:val="16"/>
        <w:szCs w:val="18"/>
      </w:rPr>
      <w:t xml:space="preserve">SEMINAIRE DE DIFFUSION DU NOUVEAU DISPOSITIF REGLEMENTAIRE RELATIF AUX </w:t>
    </w:r>
  </w:p>
  <w:p w14:paraId="03A42E1F" w14:textId="5A098621" w:rsidR="00C66CA4" w:rsidRPr="00AF129A" w:rsidRDefault="00AF129A" w:rsidP="00AF129A">
    <w:pPr>
      <w:pStyle w:val="En-tte"/>
      <w:pBdr>
        <w:bottom w:val="single" w:sz="4" w:space="0" w:color="auto"/>
      </w:pBdr>
      <w:jc w:val="center"/>
      <w:rPr>
        <w:i/>
        <w:sz w:val="16"/>
        <w:szCs w:val="18"/>
      </w:rPr>
    </w:pPr>
    <w:r w:rsidRPr="00AF129A">
      <w:rPr>
        <w:i/>
        <w:sz w:val="16"/>
        <w:szCs w:val="18"/>
      </w:rPr>
      <w:t>CONDITIONS D’EXERCICE ET DE CONTROLE DE L’ACTIVITE DE MICROFINANCE DANS LA CEMAC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DC"/>
    <w:multiLevelType w:val="hybridMultilevel"/>
    <w:tmpl w:val="25022866"/>
    <w:lvl w:ilvl="0" w:tplc="14C4F17E">
      <w:start w:val="2"/>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09C206C"/>
    <w:multiLevelType w:val="hybridMultilevel"/>
    <w:tmpl w:val="0C961652"/>
    <w:lvl w:ilvl="0" w:tplc="5ABA1648">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36B4108"/>
    <w:multiLevelType w:val="hybridMultilevel"/>
    <w:tmpl w:val="1BAACC44"/>
    <w:lvl w:ilvl="0" w:tplc="14C4F1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4F4742"/>
    <w:multiLevelType w:val="hybridMultilevel"/>
    <w:tmpl w:val="E79E59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87B6A12"/>
    <w:multiLevelType w:val="hybridMultilevel"/>
    <w:tmpl w:val="E6306998"/>
    <w:lvl w:ilvl="0" w:tplc="F7C01C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AF790C"/>
    <w:multiLevelType w:val="hybridMultilevel"/>
    <w:tmpl w:val="493A8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951C2"/>
    <w:multiLevelType w:val="hybridMultilevel"/>
    <w:tmpl w:val="987EC974"/>
    <w:lvl w:ilvl="0" w:tplc="AA46CF4E">
      <w:start w:val="1"/>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nsid w:val="20062C47"/>
    <w:multiLevelType w:val="hybridMultilevel"/>
    <w:tmpl w:val="9EF48DF6"/>
    <w:lvl w:ilvl="0" w:tplc="3EBC1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6554C8"/>
    <w:multiLevelType w:val="hybridMultilevel"/>
    <w:tmpl w:val="A44A1628"/>
    <w:lvl w:ilvl="0" w:tplc="6FD00A02">
      <w:start w:val="1"/>
      <w:numFmt w:val="decimal"/>
      <w:lvlText w:val="%1"/>
      <w:lvlJc w:val="left"/>
      <w:pPr>
        <w:ind w:left="720" w:hanging="360"/>
      </w:pPr>
      <w:rPr>
        <w:rFonts w:ascii="Arial Black" w:eastAsiaTheme="minorHAnsi" w:hAnsi="Arial Black"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5E1772"/>
    <w:multiLevelType w:val="hybridMultilevel"/>
    <w:tmpl w:val="49C8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671EC1"/>
    <w:multiLevelType w:val="hybridMultilevel"/>
    <w:tmpl w:val="E092DCF8"/>
    <w:lvl w:ilvl="0" w:tplc="B994F5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3A67FE"/>
    <w:multiLevelType w:val="hybridMultilevel"/>
    <w:tmpl w:val="6D12EBE6"/>
    <w:lvl w:ilvl="0" w:tplc="040C0011">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A576B4C"/>
    <w:multiLevelType w:val="multilevel"/>
    <w:tmpl w:val="6A48AC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485663F"/>
    <w:multiLevelType w:val="hybridMultilevel"/>
    <w:tmpl w:val="A6CA417E"/>
    <w:lvl w:ilvl="0" w:tplc="99D044D8">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45D53955"/>
    <w:multiLevelType w:val="hybridMultilevel"/>
    <w:tmpl w:val="5A5A96E8"/>
    <w:lvl w:ilvl="0" w:tplc="DBA04A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34391C"/>
    <w:multiLevelType w:val="hybridMultilevel"/>
    <w:tmpl w:val="1B669388"/>
    <w:lvl w:ilvl="0" w:tplc="C6647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E35CF1"/>
    <w:multiLevelType w:val="hybridMultilevel"/>
    <w:tmpl w:val="51BAC5EC"/>
    <w:lvl w:ilvl="0" w:tplc="D3A4C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060AAE"/>
    <w:multiLevelType w:val="hybridMultilevel"/>
    <w:tmpl w:val="BA20F9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A832145"/>
    <w:multiLevelType w:val="hybridMultilevel"/>
    <w:tmpl w:val="1D26C1B0"/>
    <w:lvl w:ilvl="0" w:tplc="0DEA4E60">
      <w:start w:val="1"/>
      <w:numFmt w:val="decimal"/>
      <w:lvlText w:val="%1"/>
      <w:lvlJc w:val="left"/>
      <w:pPr>
        <w:ind w:left="1410" w:hanging="10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062C6B"/>
    <w:multiLevelType w:val="hybridMultilevel"/>
    <w:tmpl w:val="8B2C7D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F0E55CC"/>
    <w:multiLevelType w:val="hybridMultilevel"/>
    <w:tmpl w:val="7FE61D86"/>
    <w:lvl w:ilvl="0" w:tplc="F7C01C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441B3D"/>
    <w:multiLevelType w:val="hybridMultilevel"/>
    <w:tmpl w:val="2D80EF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4A72C3F"/>
    <w:multiLevelType w:val="hybridMultilevel"/>
    <w:tmpl w:val="710689D8"/>
    <w:lvl w:ilvl="0" w:tplc="BE5C4264">
      <w:start w:val="1"/>
      <w:numFmt w:val="bullet"/>
      <w:lvlText w:val=""/>
      <w:lvlJc w:val="left"/>
      <w:pPr>
        <w:tabs>
          <w:tab w:val="num" w:pos="720"/>
        </w:tabs>
        <w:ind w:left="720" w:hanging="360"/>
      </w:pPr>
      <w:rPr>
        <w:rFonts w:ascii="Wingdings" w:hAnsi="Wingdings" w:hint="default"/>
      </w:rPr>
    </w:lvl>
    <w:lvl w:ilvl="1" w:tplc="56DA6690" w:tentative="1">
      <w:start w:val="1"/>
      <w:numFmt w:val="bullet"/>
      <w:lvlText w:val=""/>
      <w:lvlJc w:val="left"/>
      <w:pPr>
        <w:tabs>
          <w:tab w:val="num" w:pos="1440"/>
        </w:tabs>
        <w:ind w:left="1440" w:hanging="360"/>
      </w:pPr>
      <w:rPr>
        <w:rFonts w:ascii="Wingdings" w:hAnsi="Wingdings" w:hint="default"/>
      </w:rPr>
    </w:lvl>
    <w:lvl w:ilvl="2" w:tplc="239A3250" w:tentative="1">
      <w:start w:val="1"/>
      <w:numFmt w:val="bullet"/>
      <w:lvlText w:val=""/>
      <w:lvlJc w:val="left"/>
      <w:pPr>
        <w:tabs>
          <w:tab w:val="num" w:pos="2160"/>
        </w:tabs>
        <w:ind w:left="2160" w:hanging="360"/>
      </w:pPr>
      <w:rPr>
        <w:rFonts w:ascii="Wingdings" w:hAnsi="Wingdings" w:hint="default"/>
      </w:rPr>
    </w:lvl>
    <w:lvl w:ilvl="3" w:tplc="7BE699A4" w:tentative="1">
      <w:start w:val="1"/>
      <w:numFmt w:val="bullet"/>
      <w:lvlText w:val=""/>
      <w:lvlJc w:val="left"/>
      <w:pPr>
        <w:tabs>
          <w:tab w:val="num" w:pos="2880"/>
        </w:tabs>
        <w:ind w:left="2880" w:hanging="360"/>
      </w:pPr>
      <w:rPr>
        <w:rFonts w:ascii="Wingdings" w:hAnsi="Wingdings" w:hint="default"/>
      </w:rPr>
    </w:lvl>
    <w:lvl w:ilvl="4" w:tplc="9C142382" w:tentative="1">
      <w:start w:val="1"/>
      <w:numFmt w:val="bullet"/>
      <w:lvlText w:val=""/>
      <w:lvlJc w:val="left"/>
      <w:pPr>
        <w:tabs>
          <w:tab w:val="num" w:pos="3600"/>
        </w:tabs>
        <w:ind w:left="3600" w:hanging="360"/>
      </w:pPr>
      <w:rPr>
        <w:rFonts w:ascii="Wingdings" w:hAnsi="Wingdings" w:hint="default"/>
      </w:rPr>
    </w:lvl>
    <w:lvl w:ilvl="5" w:tplc="AD949EF4" w:tentative="1">
      <w:start w:val="1"/>
      <w:numFmt w:val="bullet"/>
      <w:lvlText w:val=""/>
      <w:lvlJc w:val="left"/>
      <w:pPr>
        <w:tabs>
          <w:tab w:val="num" w:pos="4320"/>
        </w:tabs>
        <w:ind w:left="4320" w:hanging="360"/>
      </w:pPr>
      <w:rPr>
        <w:rFonts w:ascii="Wingdings" w:hAnsi="Wingdings" w:hint="default"/>
      </w:rPr>
    </w:lvl>
    <w:lvl w:ilvl="6" w:tplc="9126CD20" w:tentative="1">
      <w:start w:val="1"/>
      <w:numFmt w:val="bullet"/>
      <w:lvlText w:val=""/>
      <w:lvlJc w:val="left"/>
      <w:pPr>
        <w:tabs>
          <w:tab w:val="num" w:pos="5040"/>
        </w:tabs>
        <w:ind w:left="5040" w:hanging="360"/>
      </w:pPr>
      <w:rPr>
        <w:rFonts w:ascii="Wingdings" w:hAnsi="Wingdings" w:hint="default"/>
      </w:rPr>
    </w:lvl>
    <w:lvl w:ilvl="7" w:tplc="FF8AEFC8" w:tentative="1">
      <w:start w:val="1"/>
      <w:numFmt w:val="bullet"/>
      <w:lvlText w:val=""/>
      <w:lvlJc w:val="left"/>
      <w:pPr>
        <w:tabs>
          <w:tab w:val="num" w:pos="5760"/>
        </w:tabs>
        <w:ind w:left="5760" w:hanging="360"/>
      </w:pPr>
      <w:rPr>
        <w:rFonts w:ascii="Wingdings" w:hAnsi="Wingdings" w:hint="default"/>
      </w:rPr>
    </w:lvl>
    <w:lvl w:ilvl="8" w:tplc="4BD6A7A0" w:tentative="1">
      <w:start w:val="1"/>
      <w:numFmt w:val="bullet"/>
      <w:lvlText w:val=""/>
      <w:lvlJc w:val="left"/>
      <w:pPr>
        <w:tabs>
          <w:tab w:val="num" w:pos="6480"/>
        </w:tabs>
        <w:ind w:left="6480" w:hanging="360"/>
      </w:pPr>
      <w:rPr>
        <w:rFonts w:ascii="Wingdings" w:hAnsi="Wingdings" w:hint="default"/>
      </w:rPr>
    </w:lvl>
  </w:abstractNum>
  <w:abstractNum w:abstractNumId="23">
    <w:nsid w:val="68991549"/>
    <w:multiLevelType w:val="hybridMultilevel"/>
    <w:tmpl w:val="816EBB40"/>
    <w:lvl w:ilvl="0" w:tplc="78140BF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733211F4"/>
    <w:multiLevelType w:val="hybridMultilevel"/>
    <w:tmpl w:val="05445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AD3ED0"/>
    <w:multiLevelType w:val="hybridMultilevel"/>
    <w:tmpl w:val="C48EF10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665A19"/>
    <w:multiLevelType w:val="hybridMultilevel"/>
    <w:tmpl w:val="C3EA69F0"/>
    <w:lvl w:ilvl="0" w:tplc="9D1A6B12">
      <w:start w:val="1"/>
      <w:numFmt w:val="upperLetter"/>
      <w:pStyle w:val="Titre1"/>
      <w:lvlText w:val="%1."/>
      <w:lvlJc w:val="left"/>
      <w:pPr>
        <w:tabs>
          <w:tab w:val="num" w:pos="1608"/>
        </w:tabs>
        <w:ind w:left="1608" w:hanging="360"/>
      </w:pPr>
    </w:lvl>
    <w:lvl w:ilvl="1" w:tplc="040C000F">
      <w:start w:val="1"/>
      <w:numFmt w:val="decimal"/>
      <w:lvlText w:val="%2."/>
      <w:lvlJc w:val="left"/>
      <w:pPr>
        <w:tabs>
          <w:tab w:val="num" w:pos="2328"/>
        </w:tabs>
        <w:ind w:left="2328" w:hanging="360"/>
      </w:pPr>
    </w:lvl>
    <w:lvl w:ilvl="2" w:tplc="040C001B" w:tentative="1">
      <w:start w:val="1"/>
      <w:numFmt w:val="lowerRoman"/>
      <w:lvlText w:val="%3."/>
      <w:lvlJc w:val="right"/>
      <w:pPr>
        <w:tabs>
          <w:tab w:val="num" w:pos="3048"/>
        </w:tabs>
        <w:ind w:left="3048" w:hanging="180"/>
      </w:pPr>
    </w:lvl>
    <w:lvl w:ilvl="3" w:tplc="040C000F" w:tentative="1">
      <w:start w:val="1"/>
      <w:numFmt w:val="decimal"/>
      <w:lvlText w:val="%4."/>
      <w:lvlJc w:val="left"/>
      <w:pPr>
        <w:tabs>
          <w:tab w:val="num" w:pos="3768"/>
        </w:tabs>
        <w:ind w:left="3768" w:hanging="360"/>
      </w:pPr>
    </w:lvl>
    <w:lvl w:ilvl="4" w:tplc="040C0019" w:tentative="1">
      <w:start w:val="1"/>
      <w:numFmt w:val="lowerLetter"/>
      <w:lvlText w:val="%5."/>
      <w:lvlJc w:val="left"/>
      <w:pPr>
        <w:tabs>
          <w:tab w:val="num" w:pos="4488"/>
        </w:tabs>
        <w:ind w:left="4488" w:hanging="360"/>
      </w:pPr>
    </w:lvl>
    <w:lvl w:ilvl="5" w:tplc="040C001B" w:tentative="1">
      <w:start w:val="1"/>
      <w:numFmt w:val="lowerRoman"/>
      <w:lvlText w:val="%6."/>
      <w:lvlJc w:val="right"/>
      <w:pPr>
        <w:tabs>
          <w:tab w:val="num" w:pos="5208"/>
        </w:tabs>
        <w:ind w:left="5208" w:hanging="180"/>
      </w:pPr>
    </w:lvl>
    <w:lvl w:ilvl="6" w:tplc="040C000F" w:tentative="1">
      <w:start w:val="1"/>
      <w:numFmt w:val="decimal"/>
      <w:lvlText w:val="%7."/>
      <w:lvlJc w:val="left"/>
      <w:pPr>
        <w:tabs>
          <w:tab w:val="num" w:pos="5928"/>
        </w:tabs>
        <w:ind w:left="5928" w:hanging="360"/>
      </w:pPr>
    </w:lvl>
    <w:lvl w:ilvl="7" w:tplc="040C0019" w:tentative="1">
      <w:start w:val="1"/>
      <w:numFmt w:val="lowerLetter"/>
      <w:lvlText w:val="%8."/>
      <w:lvlJc w:val="left"/>
      <w:pPr>
        <w:tabs>
          <w:tab w:val="num" w:pos="6648"/>
        </w:tabs>
        <w:ind w:left="6648" w:hanging="360"/>
      </w:pPr>
    </w:lvl>
    <w:lvl w:ilvl="8" w:tplc="040C001B" w:tentative="1">
      <w:start w:val="1"/>
      <w:numFmt w:val="lowerRoman"/>
      <w:lvlText w:val="%9."/>
      <w:lvlJc w:val="right"/>
      <w:pPr>
        <w:tabs>
          <w:tab w:val="num" w:pos="7368"/>
        </w:tabs>
        <w:ind w:left="7368" w:hanging="180"/>
      </w:pPr>
    </w:lvl>
  </w:abstractNum>
  <w:abstractNum w:abstractNumId="27">
    <w:nsid w:val="7D9B743E"/>
    <w:multiLevelType w:val="hybridMultilevel"/>
    <w:tmpl w:val="6D3A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5"/>
  </w:num>
  <w:num w:numId="4">
    <w:abstractNumId w:val="23"/>
  </w:num>
  <w:num w:numId="5">
    <w:abstractNumId w:val="2"/>
  </w:num>
  <w:num w:numId="6">
    <w:abstractNumId w:val="0"/>
  </w:num>
  <w:num w:numId="7">
    <w:abstractNumId w:val="13"/>
  </w:num>
  <w:num w:numId="8">
    <w:abstractNumId w:val="1"/>
  </w:num>
  <w:num w:numId="9">
    <w:abstractNumId w:val="22"/>
  </w:num>
  <w:num w:numId="10">
    <w:abstractNumId w:val="6"/>
  </w:num>
  <w:num w:numId="11">
    <w:abstractNumId w:val="25"/>
  </w:num>
  <w:num w:numId="12">
    <w:abstractNumId w:val="20"/>
  </w:num>
  <w:num w:numId="13">
    <w:abstractNumId w:val="4"/>
  </w:num>
  <w:num w:numId="14">
    <w:abstractNumId w:val="12"/>
  </w:num>
  <w:num w:numId="15">
    <w:abstractNumId w:val="24"/>
  </w:num>
  <w:num w:numId="16">
    <w:abstractNumId w:val="9"/>
  </w:num>
  <w:num w:numId="17">
    <w:abstractNumId w:val="5"/>
  </w:num>
  <w:num w:numId="18">
    <w:abstractNumId w:val="27"/>
  </w:num>
  <w:num w:numId="19">
    <w:abstractNumId w:val="3"/>
  </w:num>
  <w:num w:numId="20">
    <w:abstractNumId w:val="8"/>
  </w:num>
  <w:num w:numId="21">
    <w:abstractNumId w:val="10"/>
  </w:num>
  <w:num w:numId="22">
    <w:abstractNumId w:val="19"/>
  </w:num>
  <w:num w:numId="23">
    <w:abstractNumId w:val="16"/>
  </w:num>
  <w:num w:numId="24">
    <w:abstractNumId w:val="7"/>
  </w:num>
  <w:num w:numId="25">
    <w:abstractNumId w:val="18"/>
  </w:num>
  <w:num w:numId="26">
    <w:abstractNumId w:val="17"/>
  </w:num>
  <w:num w:numId="27">
    <w:abstractNumId w:val="21"/>
  </w:num>
  <w:num w:numId="28">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INGA">
    <w15:presenceInfo w15:providerId="None" w15:userId="BEN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2DAA"/>
    <w:rsid w:val="00000708"/>
    <w:rsid w:val="00002A29"/>
    <w:rsid w:val="000122A8"/>
    <w:rsid w:val="00012B65"/>
    <w:rsid w:val="000173E9"/>
    <w:rsid w:val="000253AA"/>
    <w:rsid w:val="00025D76"/>
    <w:rsid w:val="00027DB7"/>
    <w:rsid w:val="000308AC"/>
    <w:rsid w:val="00030FF4"/>
    <w:rsid w:val="00033C9E"/>
    <w:rsid w:val="00037C56"/>
    <w:rsid w:val="00047488"/>
    <w:rsid w:val="0005280C"/>
    <w:rsid w:val="00053E91"/>
    <w:rsid w:val="000558E8"/>
    <w:rsid w:val="00055F00"/>
    <w:rsid w:val="00061391"/>
    <w:rsid w:val="00061483"/>
    <w:rsid w:val="00063046"/>
    <w:rsid w:val="00067A27"/>
    <w:rsid w:val="000719B0"/>
    <w:rsid w:val="00073FAF"/>
    <w:rsid w:val="000770FC"/>
    <w:rsid w:val="00081F1C"/>
    <w:rsid w:val="0008603B"/>
    <w:rsid w:val="0009046D"/>
    <w:rsid w:val="000912BF"/>
    <w:rsid w:val="00094406"/>
    <w:rsid w:val="0009730F"/>
    <w:rsid w:val="000A0B9B"/>
    <w:rsid w:val="000A24B5"/>
    <w:rsid w:val="000A7C23"/>
    <w:rsid w:val="000B0087"/>
    <w:rsid w:val="000B44E7"/>
    <w:rsid w:val="000B5FBE"/>
    <w:rsid w:val="000B6F4A"/>
    <w:rsid w:val="000B7D66"/>
    <w:rsid w:val="000C5D8D"/>
    <w:rsid w:val="000C6839"/>
    <w:rsid w:val="000C7815"/>
    <w:rsid w:val="000D1D80"/>
    <w:rsid w:val="000D6CA2"/>
    <w:rsid w:val="000D6FA3"/>
    <w:rsid w:val="000E6F2F"/>
    <w:rsid w:val="000E7758"/>
    <w:rsid w:val="000F24EB"/>
    <w:rsid w:val="000F44A7"/>
    <w:rsid w:val="00103313"/>
    <w:rsid w:val="00105803"/>
    <w:rsid w:val="001062EE"/>
    <w:rsid w:val="001076E9"/>
    <w:rsid w:val="00115264"/>
    <w:rsid w:val="001158F6"/>
    <w:rsid w:val="001215C3"/>
    <w:rsid w:val="00121636"/>
    <w:rsid w:val="001228F4"/>
    <w:rsid w:val="00123195"/>
    <w:rsid w:val="00125495"/>
    <w:rsid w:val="0013177B"/>
    <w:rsid w:val="00133AAF"/>
    <w:rsid w:val="001358B2"/>
    <w:rsid w:val="001407C2"/>
    <w:rsid w:val="00141904"/>
    <w:rsid w:val="00141B3B"/>
    <w:rsid w:val="00143F8F"/>
    <w:rsid w:val="00144D53"/>
    <w:rsid w:val="00147B19"/>
    <w:rsid w:val="00151588"/>
    <w:rsid w:val="00155E1B"/>
    <w:rsid w:val="00162283"/>
    <w:rsid w:val="00164588"/>
    <w:rsid w:val="00170DC4"/>
    <w:rsid w:val="001721AC"/>
    <w:rsid w:val="00172CBE"/>
    <w:rsid w:val="00174A28"/>
    <w:rsid w:val="00175D62"/>
    <w:rsid w:val="00181895"/>
    <w:rsid w:val="0018505D"/>
    <w:rsid w:val="00187891"/>
    <w:rsid w:val="001A56B9"/>
    <w:rsid w:val="001A5C4D"/>
    <w:rsid w:val="001B1FFB"/>
    <w:rsid w:val="001B600E"/>
    <w:rsid w:val="001B673A"/>
    <w:rsid w:val="001C407D"/>
    <w:rsid w:val="001C78F0"/>
    <w:rsid w:val="001D28BE"/>
    <w:rsid w:val="001D4FFE"/>
    <w:rsid w:val="001E07ED"/>
    <w:rsid w:val="001F355E"/>
    <w:rsid w:val="001F738A"/>
    <w:rsid w:val="001F796E"/>
    <w:rsid w:val="00200924"/>
    <w:rsid w:val="00201086"/>
    <w:rsid w:val="00201559"/>
    <w:rsid w:val="00201B79"/>
    <w:rsid w:val="0021094E"/>
    <w:rsid w:val="002139A3"/>
    <w:rsid w:val="00213D71"/>
    <w:rsid w:val="00213EA2"/>
    <w:rsid w:val="00223468"/>
    <w:rsid w:val="00223BF9"/>
    <w:rsid w:val="00227812"/>
    <w:rsid w:val="0023193E"/>
    <w:rsid w:val="00231AE8"/>
    <w:rsid w:val="00232910"/>
    <w:rsid w:val="0023501C"/>
    <w:rsid w:val="002358B8"/>
    <w:rsid w:val="00235FFA"/>
    <w:rsid w:val="0023650E"/>
    <w:rsid w:val="00241909"/>
    <w:rsid w:val="00241FAB"/>
    <w:rsid w:val="00245B02"/>
    <w:rsid w:val="00251182"/>
    <w:rsid w:val="002533A3"/>
    <w:rsid w:val="00257556"/>
    <w:rsid w:val="00263565"/>
    <w:rsid w:val="00264E49"/>
    <w:rsid w:val="00271518"/>
    <w:rsid w:val="00271ACF"/>
    <w:rsid w:val="00272918"/>
    <w:rsid w:val="00287914"/>
    <w:rsid w:val="00292173"/>
    <w:rsid w:val="002A5493"/>
    <w:rsid w:val="002A71C2"/>
    <w:rsid w:val="002B2660"/>
    <w:rsid w:val="002B2D86"/>
    <w:rsid w:val="002B4055"/>
    <w:rsid w:val="002B6310"/>
    <w:rsid w:val="002C038A"/>
    <w:rsid w:val="002C05FC"/>
    <w:rsid w:val="002C23BD"/>
    <w:rsid w:val="002C3C42"/>
    <w:rsid w:val="002C652B"/>
    <w:rsid w:val="002D5112"/>
    <w:rsid w:val="002E0035"/>
    <w:rsid w:val="002E1D4F"/>
    <w:rsid w:val="002E4104"/>
    <w:rsid w:val="002F0161"/>
    <w:rsid w:val="002F02B5"/>
    <w:rsid w:val="002F1AAC"/>
    <w:rsid w:val="002F2290"/>
    <w:rsid w:val="002F4B0C"/>
    <w:rsid w:val="00311B6A"/>
    <w:rsid w:val="00315426"/>
    <w:rsid w:val="00315A2A"/>
    <w:rsid w:val="003230D6"/>
    <w:rsid w:val="00324D49"/>
    <w:rsid w:val="003250F6"/>
    <w:rsid w:val="00330C88"/>
    <w:rsid w:val="00331CA0"/>
    <w:rsid w:val="00341B49"/>
    <w:rsid w:val="00342F39"/>
    <w:rsid w:val="00347E91"/>
    <w:rsid w:val="00350159"/>
    <w:rsid w:val="003523BA"/>
    <w:rsid w:val="00352B1F"/>
    <w:rsid w:val="00352BE7"/>
    <w:rsid w:val="0035672C"/>
    <w:rsid w:val="00360E36"/>
    <w:rsid w:val="00372E6F"/>
    <w:rsid w:val="00375C2F"/>
    <w:rsid w:val="00376393"/>
    <w:rsid w:val="003766EF"/>
    <w:rsid w:val="003844C4"/>
    <w:rsid w:val="003847CD"/>
    <w:rsid w:val="00391127"/>
    <w:rsid w:val="003917AD"/>
    <w:rsid w:val="0039304A"/>
    <w:rsid w:val="003A2087"/>
    <w:rsid w:val="003A2326"/>
    <w:rsid w:val="003A52EE"/>
    <w:rsid w:val="003A5AB0"/>
    <w:rsid w:val="003B0021"/>
    <w:rsid w:val="003B701C"/>
    <w:rsid w:val="003C22CA"/>
    <w:rsid w:val="003C320D"/>
    <w:rsid w:val="003C4660"/>
    <w:rsid w:val="003C79C3"/>
    <w:rsid w:val="003D47D9"/>
    <w:rsid w:val="003D5500"/>
    <w:rsid w:val="003E4603"/>
    <w:rsid w:val="003F4D12"/>
    <w:rsid w:val="003F5549"/>
    <w:rsid w:val="003F7B45"/>
    <w:rsid w:val="0040152A"/>
    <w:rsid w:val="00406950"/>
    <w:rsid w:val="00407806"/>
    <w:rsid w:val="00407813"/>
    <w:rsid w:val="0040783F"/>
    <w:rsid w:val="00416F36"/>
    <w:rsid w:val="0042145B"/>
    <w:rsid w:val="00430582"/>
    <w:rsid w:val="004343E6"/>
    <w:rsid w:val="00436689"/>
    <w:rsid w:val="00437348"/>
    <w:rsid w:val="004415BA"/>
    <w:rsid w:val="004426A5"/>
    <w:rsid w:val="0044651E"/>
    <w:rsid w:val="00450234"/>
    <w:rsid w:val="004524BF"/>
    <w:rsid w:val="00463C32"/>
    <w:rsid w:val="00465E4D"/>
    <w:rsid w:val="004664FC"/>
    <w:rsid w:val="00470A40"/>
    <w:rsid w:val="0047623B"/>
    <w:rsid w:val="00490A8C"/>
    <w:rsid w:val="004A2647"/>
    <w:rsid w:val="004A282A"/>
    <w:rsid w:val="004A39F5"/>
    <w:rsid w:val="004B316D"/>
    <w:rsid w:val="004B5FE3"/>
    <w:rsid w:val="004B7080"/>
    <w:rsid w:val="004B72AF"/>
    <w:rsid w:val="004C0475"/>
    <w:rsid w:val="004C52BC"/>
    <w:rsid w:val="004C66C6"/>
    <w:rsid w:val="004C794F"/>
    <w:rsid w:val="004D01A5"/>
    <w:rsid w:val="004D52A1"/>
    <w:rsid w:val="004E0F01"/>
    <w:rsid w:val="004E1601"/>
    <w:rsid w:val="004E238F"/>
    <w:rsid w:val="004E2D75"/>
    <w:rsid w:val="004E755C"/>
    <w:rsid w:val="00500D54"/>
    <w:rsid w:val="00510952"/>
    <w:rsid w:val="00510A39"/>
    <w:rsid w:val="005142B0"/>
    <w:rsid w:val="00514677"/>
    <w:rsid w:val="005152A8"/>
    <w:rsid w:val="00515EE3"/>
    <w:rsid w:val="00530811"/>
    <w:rsid w:val="00531D5A"/>
    <w:rsid w:val="0054214C"/>
    <w:rsid w:val="00544045"/>
    <w:rsid w:val="00546255"/>
    <w:rsid w:val="00553CFC"/>
    <w:rsid w:val="0055526E"/>
    <w:rsid w:val="00555E3C"/>
    <w:rsid w:val="00560D82"/>
    <w:rsid w:val="005638B0"/>
    <w:rsid w:val="00566C50"/>
    <w:rsid w:val="0056765F"/>
    <w:rsid w:val="005715E4"/>
    <w:rsid w:val="00580FF6"/>
    <w:rsid w:val="00582E5A"/>
    <w:rsid w:val="005837C4"/>
    <w:rsid w:val="00584D0C"/>
    <w:rsid w:val="0059155F"/>
    <w:rsid w:val="00596141"/>
    <w:rsid w:val="00596B97"/>
    <w:rsid w:val="005A09F5"/>
    <w:rsid w:val="005A152E"/>
    <w:rsid w:val="005A1E3F"/>
    <w:rsid w:val="005A6379"/>
    <w:rsid w:val="005B034E"/>
    <w:rsid w:val="005B66DA"/>
    <w:rsid w:val="005B7BCB"/>
    <w:rsid w:val="005D2634"/>
    <w:rsid w:val="005D547C"/>
    <w:rsid w:val="005E13C0"/>
    <w:rsid w:val="005E1B68"/>
    <w:rsid w:val="005F0796"/>
    <w:rsid w:val="005F1525"/>
    <w:rsid w:val="005F348B"/>
    <w:rsid w:val="005F7245"/>
    <w:rsid w:val="00601146"/>
    <w:rsid w:val="006011ED"/>
    <w:rsid w:val="0060411E"/>
    <w:rsid w:val="00604929"/>
    <w:rsid w:val="00605187"/>
    <w:rsid w:val="00605F90"/>
    <w:rsid w:val="006063B3"/>
    <w:rsid w:val="00607020"/>
    <w:rsid w:val="00607CBC"/>
    <w:rsid w:val="0061190B"/>
    <w:rsid w:val="0061225D"/>
    <w:rsid w:val="00612548"/>
    <w:rsid w:val="0061333B"/>
    <w:rsid w:val="00614FED"/>
    <w:rsid w:val="00620A39"/>
    <w:rsid w:val="006210EF"/>
    <w:rsid w:val="00622F3D"/>
    <w:rsid w:val="0062619A"/>
    <w:rsid w:val="006313CD"/>
    <w:rsid w:val="00635A1F"/>
    <w:rsid w:val="0063728F"/>
    <w:rsid w:val="00640288"/>
    <w:rsid w:val="006408DD"/>
    <w:rsid w:val="0064617A"/>
    <w:rsid w:val="00650A2A"/>
    <w:rsid w:val="006514D9"/>
    <w:rsid w:val="00651C1C"/>
    <w:rsid w:val="006539DF"/>
    <w:rsid w:val="00663E52"/>
    <w:rsid w:val="006677D5"/>
    <w:rsid w:val="0067680A"/>
    <w:rsid w:val="006A43D6"/>
    <w:rsid w:val="006A6C42"/>
    <w:rsid w:val="006A7CC1"/>
    <w:rsid w:val="006B1E0B"/>
    <w:rsid w:val="006B2F21"/>
    <w:rsid w:val="006B64ED"/>
    <w:rsid w:val="006C14ED"/>
    <w:rsid w:val="006C57BA"/>
    <w:rsid w:val="006C61B9"/>
    <w:rsid w:val="006D0B84"/>
    <w:rsid w:val="006D510A"/>
    <w:rsid w:val="006E3BD6"/>
    <w:rsid w:val="006E430A"/>
    <w:rsid w:val="006F6542"/>
    <w:rsid w:val="00700184"/>
    <w:rsid w:val="007024B2"/>
    <w:rsid w:val="00702FC0"/>
    <w:rsid w:val="007036D6"/>
    <w:rsid w:val="00704E83"/>
    <w:rsid w:val="0071162D"/>
    <w:rsid w:val="0071634F"/>
    <w:rsid w:val="007222AA"/>
    <w:rsid w:val="00726522"/>
    <w:rsid w:val="00727516"/>
    <w:rsid w:val="00734F66"/>
    <w:rsid w:val="0074094F"/>
    <w:rsid w:val="00743EC1"/>
    <w:rsid w:val="007459A8"/>
    <w:rsid w:val="00746736"/>
    <w:rsid w:val="0074746D"/>
    <w:rsid w:val="0075041D"/>
    <w:rsid w:val="007537A2"/>
    <w:rsid w:val="007605AE"/>
    <w:rsid w:val="00761276"/>
    <w:rsid w:val="0076433B"/>
    <w:rsid w:val="0076796C"/>
    <w:rsid w:val="007763A2"/>
    <w:rsid w:val="007768D5"/>
    <w:rsid w:val="0078366A"/>
    <w:rsid w:val="00785DD3"/>
    <w:rsid w:val="00785F52"/>
    <w:rsid w:val="00786209"/>
    <w:rsid w:val="007A376E"/>
    <w:rsid w:val="007A7433"/>
    <w:rsid w:val="007B260C"/>
    <w:rsid w:val="007B4A76"/>
    <w:rsid w:val="007B6127"/>
    <w:rsid w:val="007B66DB"/>
    <w:rsid w:val="007C18D2"/>
    <w:rsid w:val="007C642B"/>
    <w:rsid w:val="007D1D5A"/>
    <w:rsid w:val="007D5F87"/>
    <w:rsid w:val="007D7ACC"/>
    <w:rsid w:val="007D7E56"/>
    <w:rsid w:val="007E304D"/>
    <w:rsid w:val="007E7214"/>
    <w:rsid w:val="007F0455"/>
    <w:rsid w:val="007F2D8A"/>
    <w:rsid w:val="007F36B7"/>
    <w:rsid w:val="00801286"/>
    <w:rsid w:val="00801747"/>
    <w:rsid w:val="0080208B"/>
    <w:rsid w:val="00813058"/>
    <w:rsid w:val="0081574D"/>
    <w:rsid w:val="008169CA"/>
    <w:rsid w:val="00816A61"/>
    <w:rsid w:val="00820DF9"/>
    <w:rsid w:val="00821A41"/>
    <w:rsid w:val="00823022"/>
    <w:rsid w:val="0082394C"/>
    <w:rsid w:val="00827532"/>
    <w:rsid w:val="00830C6C"/>
    <w:rsid w:val="00834147"/>
    <w:rsid w:val="00834259"/>
    <w:rsid w:val="00836136"/>
    <w:rsid w:val="00837A8E"/>
    <w:rsid w:val="00837E45"/>
    <w:rsid w:val="00842E7F"/>
    <w:rsid w:val="0084388A"/>
    <w:rsid w:val="00847D00"/>
    <w:rsid w:val="00850257"/>
    <w:rsid w:val="008510DA"/>
    <w:rsid w:val="0085439F"/>
    <w:rsid w:val="00860340"/>
    <w:rsid w:val="00862165"/>
    <w:rsid w:val="00863E75"/>
    <w:rsid w:val="00874BE6"/>
    <w:rsid w:val="00875E96"/>
    <w:rsid w:val="00876490"/>
    <w:rsid w:val="00880EC5"/>
    <w:rsid w:val="00883096"/>
    <w:rsid w:val="00885C6B"/>
    <w:rsid w:val="00887B7E"/>
    <w:rsid w:val="008A30B6"/>
    <w:rsid w:val="008A4A43"/>
    <w:rsid w:val="008A7BA8"/>
    <w:rsid w:val="008B3E02"/>
    <w:rsid w:val="008C21C4"/>
    <w:rsid w:val="008C4216"/>
    <w:rsid w:val="008C56FC"/>
    <w:rsid w:val="008D0571"/>
    <w:rsid w:val="008D3EF4"/>
    <w:rsid w:val="008D438E"/>
    <w:rsid w:val="008D4B2F"/>
    <w:rsid w:val="008D7AC0"/>
    <w:rsid w:val="008F2FAF"/>
    <w:rsid w:val="008F3806"/>
    <w:rsid w:val="00911DAD"/>
    <w:rsid w:val="0091364E"/>
    <w:rsid w:val="0092151A"/>
    <w:rsid w:val="00922262"/>
    <w:rsid w:val="00926C41"/>
    <w:rsid w:val="009270A9"/>
    <w:rsid w:val="00927537"/>
    <w:rsid w:val="009275F0"/>
    <w:rsid w:val="00930D3F"/>
    <w:rsid w:val="00931EDC"/>
    <w:rsid w:val="00940F9D"/>
    <w:rsid w:val="00941F1E"/>
    <w:rsid w:val="00944495"/>
    <w:rsid w:val="00954870"/>
    <w:rsid w:val="00955BB7"/>
    <w:rsid w:val="00974136"/>
    <w:rsid w:val="00974FF9"/>
    <w:rsid w:val="0097535B"/>
    <w:rsid w:val="009804F3"/>
    <w:rsid w:val="009851A9"/>
    <w:rsid w:val="00985A26"/>
    <w:rsid w:val="00986276"/>
    <w:rsid w:val="00990106"/>
    <w:rsid w:val="00993F32"/>
    <w:rsid w:val="00995BF4"/>
    <w:rsid w:val="0099660B"/>
    <w:rsid w:val="009A5485"/>
    <w:rsid w:val="009B005A"/>
    <w:rsid w:val="009B761F"/>
    <w:rsid w:val="009C08B8"/>
    <w:rsid w:val="009C30F6"/>
    <w:rsid w:val="009C5B33"/>
    <w:rsid w:val="009E10D1"/>
    <w:rsid w:val="009E11ED"/>
    <w:rsid w:val="009E14F6"/>
    <w:rsid w:val="009E425F"/>
    <w:rsid w:val="009E5386"/>
    <w:rsid w:val="00A05E45"/>
    <w:rsid w:val="00A14C36"/>
    <w:rsid w:val="00A20A07"/>
    <w:rsid w:val="00A21D33"/>
    <w:rsid w:val="00A21EE3"/>
    <w:rsid w:val="00A21FE7"/>
    <w:rsid w:val="00A3012C"/>
    <w:rsid w:val="00A32B5E"/>
    <w:rsid w:val="00A32F8C"/>
    <w:rsid w:val="00A33413"/>
    <w:rsid w:val="00A4166E"/>
    <w:rsid w:val="00A42E4B"/>
    <w:rsid w:val="00A46101"/>
    <w:rsid w:val="00A476E2"/>
    <w:rsid w:val="00A54569"/>
    <w:rsid w:val="00A5787A"/>
    <w:rsid w:val="00A62C9B"/>
    <w:rsid w:val="00A64557"/>
    <w:rsid w:val="00A711AF"/>
    <w:rsid w:val="00A7289A"/>
    <w:rsid w:val="00A76225"/>
    <w:rsid w:val="00A80778"/>
    <w:rsid w:val="00A80B0A"/>
    <w:rsid w:val="00A81E58"/>
    <w:rsid w:val="00A83DE4"/>
    <w:rsid w:val="00A918CC"/>
    <w:rsid w:val="00A92737"/>
    <w:rsid w:val="00A92C2B"/>
    <w:rsid w:val="00A9706E"/>
    <w:rsid w:val="00AA3DB6"/>
    <w:rsid w:val="00AA605C"/>
    <w:rsid w:val="00AB3BFC"/>
    <w:rsid w:val="00AB5EA9"/>
    <w:rsid w:val="00AC026D"/>
    <w:rsid w:val="00AC0B88"/>
    <w:rsid w:val="00AD62CA"/>
    <w:rsid w:val="00AD7C23"/>
    <w:rsid w:val="00AF129A"/>
    <w:rsid w:val="00AF1838"/>
    <w:rsid w:val="00AF3922"/>
    <w:rsid w:val="00AF50FD"/>
    <w:rsid w:val="00AF7BFA"/>
    <w:rsid w:val="00B0411D"/>
    <w:rsid w:val="00B0642F"/>
    <w:rsid w:val="00B07E5A"/>
    <w:rsid w:val="00B104EE"/>
    <w:rsid w:val="00B1383B"/>
    <w:rsid w:val="00B13F8D"/>
    <w:rsid w:val="00B22704"/>
    <w:rsid w:val="00B25CD7"/>
    <w:rsid w:val="00B272BB"/>
    <w:rsid w:val="00B27E6D"/>
    <w:rsid w:val="00B37F4B"/>
    <w:rsid w:val="00B41201"/>
    <w:rsid w:val="00B428C7"/>
    <w:rsid w:val="00B433BD"/>
    <w:rsid w:val="00B44D64"/>
    <w:rsid w:val="00B4755F"/>
    <w:rsid w:val="00B502FF"/>
    <w:rsid w:val="00B51153"/>
    <w:rsid w:val="00B520BE"/>
    <w:rsid w:val="00B54DE4"/>
    <w:rsid w:val="00B56509"/>
    <w:rsid w:val="00B568E5"/>
    <w:rsid w:val="00B57C97"/>
    <w:rsid w:val="00B605DC"/>
    <w:rsid w:val="00B609C0"/>
    <w:rsid w:val="00B64141"/>
    <w:rsid w:val="00B6500A"/>
    <w:rsid w:val="00B652CA"/>
    <w:rsid w:val="00B7129F"/>
    <w:rsid w:val="00B714A8"/>
    <w:rsid w:val="00B71A15"/>
    <w:rsid w:val="00B72C90"/>
    <w:rsid w:val="00B731B3"/>
    <w:rsid w:val="00B733BB"/>
    <w:rsid w:val="00B754F9"/>
    <w:rsid w:val="00B75ED9"/>
    <w:rsid w:val="00B848F5"/>
    <w:rsid w:val="00B94548"/>
    <w:rsid w:val="00BB25CD"/>
    <w:rsid w:val="00BB3550"/>
    <w:rsid w:val="00BB4A3C"/>
    <w:rsid w:val="00BC1129"/>
    <w:rsid w:val="00BC350E"/>
    <w:rsid w:val="00BD5A6F"/>
    <w:rsid w:val="00BD5B98"/>
    <w:rsid w:val="00BD6A47"/>
    <w:rsid w:val="00BE13C2"/>
    <w:rsid w:val="00BE3C75"/>
    <w:rsid w:val="00BE3DD2"/>
    <w:rsid w:val="00BE3F25"/>
    <w:rsid w:val="00BE4618"/>
    <w:rsid w:val="00BE4C95"/>
    <w:rsid w:val="00BE4FF6"/>
    <w:rsid w:val="00BE7E4E"/>
    <w:rsid w:val="00BF046C"/>
    <w:rsid w:val="00BF2AAF"/>
    <w:rsid w:val="00BF3596"/>
    <w:rsid w:val="00BF550F"/>
    <w:rsid w:val="00BF64F6"/>
    <w:rsid w:val="00BF7216"/>
    <w:rsid w:val="00C0122F"/>
    <w:rsid w:val="00C105A0"/>
    <w:rsid w:val="00C10699"/>
    <w:rsid w:val="00C12122"/>
    <w:rsid w:val="00C16321"/>
    <w:rsid w:val="00C1717D"/>
    <w:rsid w:val="00C27898"/>
    <w:rsid w:val="00C32A39"/>
    <w:rsid w:val="00C3505C"/>
    <w:rsid w:val="00C370D3"/>
    <w:rsid w:val="00C3754B"/>
    <w:rsid w:val="00C40FC4"/>
    <w:rsid w:val="00C415CD"/>
    <w:rsid w:val="00C42D4C"/>
    <w:rsid w:val="00C43030"/>
    <w:rsid w:val="00C44110"/>
    <w:rsid w:val="00C448A0"/>
    <w:rsid w:val="00C44DC4"/>
    <w:rsid w:val="00C45B75"/>
    <w:rsid w:val="00C46FF6"/>
    <w:rsid w:val="00C51FB0"/>
    <w:rsid w:val="00C5386B"/>
    <w:rsid w:val="00C53CEB"/>
    <w:rsid w:val="00C54576"/>
    <w:rsid w:val="00C579FC"/>
    <w:rsid w:val="00C6124B"/>
    <w:rsid w:val="00C6344B"/>
    <w:rsid w:val="00C63A1F"/>
    <w:rsid w:val="00C66CA4"/>
    <w:rsid w:val="00C67A18"/>
    <w:rsid w:val="00C7133E"/>
    <w:rsid w:val="00C72B9D"/>
    <w:rsid w:val="00C77FF9"/>
    <w:rsid w:val="00C82C80"/>
    <w:rsid w:val="00C83A76"/>
    <w:rsid w:val="00C83EE5"/>
    <w:rsid w:val="00C86209"/>
    <w:rsid w:val="00C87B40"/>
    <w:rsid w:val="00C91726"/>
    <w:rsid w:val="00C92DF4"/>
    <w:rsid w:val="00C9651B"/>
    <w:rsid w:val="00C965FF"/>
    <w:rsid w:val="00C976F1"/>
    <w:rsid w:val="00CA1361"/>
    <w:rsid w:val="00CA77D0"/>
    <w:rsid w:val="00CB1588"/>
    <w:rsid w:val="00CB401D"/>
    <w:rsid w:val="00CB7630"/>
    <w:rsid w:val="00CB7EBA"/>
    <w:rsid w:val="00CC139D"/>
    <w:rsid w:val="00CC2973"/>
    <w:rsid w:val="00CC2BDD"/>
    <w:rsid w:val="00CD1140"/>
    <w:rsid w:val="00CD3DD7"/>
    <w:rsid w:val="00CD4494"/>
    <w:rsid w:val="00CD5F4B"/>
    <w:rsid w:val="00CD6047"/>
    <w:rsid w:val="00CD648A"/>
    <w:rsid w:val="00CE2C4F"/>
    <w:rsid w:val="00CE3B75"/>
    <w:rsid w:val="00CF3C61"/>
    <w:rsid w:val="00D00815"/>
    <w:rsid w:val="00D01656"/>
    <w:rsid w:val="00D01C01"/>
    <w:rsid w:val="00D01D06"/>
    <w:rsid w:val="00D0200F"/>
    <w:rsid w:val="00D024BF"/>
    <w:rsid w:val="00D02AF0"/>
    <w:rsid w:val="00D1309B"/>
    <w:rsid w:val="00D16BF7"/>
    <w:rsid w:val="00D24279"/>
    <w:rsid w:val="00D26421"/>
    <w:rsid w:val="00D30684"/>
    <w:rsid w:val="00D31BDD"/>
    <w:rsid w:val="00D31F4F"/>
    <w:rsid w:val="00D50466"/>
    <w:rsid w:val="00D51C4B"/>
    <w:rsid w:val="00D55960"/>
    <w:rsid w:val="00D625B1"/>
    <w:rsid w:val="00D679D1"/>
    <w:rsid w:val="00D70658"/>
    <w:rsid w:val="00D71314"/>
    <w:rsid w:val="00D756C2"/>
    <w:rsid w:val="00D770CF"/>
    <w:rsid w:val="00D853AF"/>
    <w:rsid w:val="00D87A05"/>
    <w:rsid w:val="00D91852"/>
    <w:rsid w:val="00D9343A"/>
    <w:rsid w:val="00D939DF"/>
    <w:rsid w:val="00D97E4A"/>
    <w:rsid w:val="00DA0102"/>
    <w:rsid w:val="00DA0720"/>
    <w:rsid w:val="00DB0108"/>
    <w:rsid w:val="00DB06E5"/>
    <w:rsid w:val="00DB0AA1"/>
    <w:rsid w:val="00DB4440"/>
    <w:rsid w:val="00DB7181"/>
    <w:rsid w:val="00DC1625"/>
    <w:rsid w:val="00DC5528"/>
    <w:rsid w:val="00DC682B"/>
    <w:rsid w:val="00DC715E"/>
    <w:rsid w:val="00DD140A"/>
    <w:rsid w:val="00DD1E6D"/>
    <w:rsid w:val="00DD2BE6"/>
    <w:rsid w:val="00DE497A"/>
    <w:rsid w:val="00DE6814"/>
    <w:rsid w:val="00DF1AF8"/>
    <w:rsid w:val="00E05D94"/>
    <w:rsid w:val="00E07232"/>
    <w:rsid w:val="00E122B2"/>
    <w:rsid w:val="00E12ECD"/>
    <w:rsid w:val="00E16974"/>
    <w:rsid w:val="00E169D0"/>
    <w:rsid w:val="00E172BA"/>
    <w:rsid w:val="00E20FE6"/>
    <w:rsid w:val="00E223C6"/>
    <w:rsid w:val="00E34525"/>
    <w:rsid w:val="00E3752E"/>
    <w:rsid w:val="00E37DA4"/>
    <w:rsid w:val="00E41753"/>
    <w:rsid w:val="00E421E5"/>
    <w:rsid w:val="00E42DAA"/>
    <w:rsid w:val="00E43500"/>
    <w:rsid w:val="00E43713"/>
    <w:rsid w:val="00E44C27"/>
    <w:rsid w:val="00E50A10"/>
    <w:rsid w:val="00E53791"/>
    <w:rsid w:val="00E541BE"/>
    <w:rsid w:val="00E61E52"/>
    <w:rsid w:val="00E66479"/>
    <w:rsid w:val="00E707FF"/>
    <w:rsid w:val="00E708D3"/>
    <w:rsid w:val="00E73B18"/>
    <w:rsid w:val="00E766F9"/>
    <w:rsid w:val="00E85D13"/>
    <w:rsid w:val="00E876DE"/>
    <w:rsid w:val="00E90A6E"/>
    <w:rsid w:val="00E9278A"/>
    <w:rsid w:val="00E93D98"/>
    <w:rsid w:val="00E973ED"/>
    <w:rsid w:val="00EA26EB"/>
    <w:rsid w:val="00EA6DA8"/>
    <w:rsid w:val="00EB1D8C"/>
    <w:rsid w:val="00EC155F"/>
    <w:rsid w:val="00EC3648"/>
    <w:rsid w:val="00EC3B98"/>
    <w:rsid w:val="00ED00A3"/>
    <w:rsid w:val="00ED5C05"/>
    <w:rsid w:val="00EE253D"/>
    <w:rsid w:val="00EF274F"/>
    <w:rsid w:val="00EF3D3B"/>
    <w:rsid w:val="00F01190"/>
    <w:rsid w:val="00F03D81"/>
    <w:rsid w:val="00F04137"/>
    <w:rsid w:val="00F0556D"/>
    <w:rsid w:val="00F064DE"/>
    <w:rsid w:val="00F07DEF"/>
    <w:rsid w:val="00F10F1C"/>
    <w:rsid w:val="00F21D45"/>
    <w:rsid w:val="00F2280B"/>
    <w:rsid w:val="00F23C07"/>
    <w:rsid w:val="00F23D8F"/>
    <w:rsid w:val="00F270F6"/>
    <w:rsid w:val="00F3033C"/>
    <w:rsid w:val="00F30905"/>
    <w:rsid w:val="00F30C82"/>
    <w:rsid w:val="00F357BA"/>
    <w:rsid w:val="00F36D2E"/>
    <w:rsid w:val="00F378E6"/>
    <w:rsid w:val="00F4366D"/>
    <w:rsid w:val="00F44DF0"/>
    <w:rsid w:val="00F47007"/>
    <w:rsid w:val="00F55F3F"/>
    <w:rsid w:val="00F60526"/>
    <w:rsid w:val="00F61041"/>
    <w:rsid w:val="00F61198"/>
    <w:rsid w:val="00F63A15"/>
    <w:rsid w:val="00F63AE9"/>
    <w:rsid w:val="00F64FE3"/>
    <w:rsid w:val="00F6719E"/>
    <w:rsid w:val="00F71F8F"/>
    <w:rsid w:val="00F7399A"/>
    <w:rsid w:val="00F74197"/>
    <w:rsid w:val="00F750A7"/>
    <w:rsid w:val="00F75254"/>
    <w:rsid w:val="00F8028D"/>
    <w:rsid w:val="00F8268E"/>
    <w:rsid w:val="00F8383F"/>
    <w:rsid w:val="00F83A18"/>
    <w:rsid w:val="00F85344"/>
    <w:rsid w:val="00F93A47"/>
    <w:rsid w:val="00F949C7"/>
    <w:rsid w:val="00F9659E"/>
    <w:rsid w:val="00FA025F"/>
    <w:rsid w:val="00FA0AC0"/>
    <w:rsid w:val="00FA32A1"/>
    <w:rsid w:val="00FA6C0C"/>
    <w:rsid w:val="00FB0395"/>
    <w:rsid w:val="00FB1ED3"/>
    <w:rsid w:val="00FB301E"/>
    <w:rsid w:val="00FB6152"/>
    <w:rsid w:val="00FC21DA"/>
    <w:rsid w:val="00FC41EB"/>
    <w:rsid w:val="00FD0171"/>
    <w:rsid w:val="00FD11BF"/>
    <w:rsid w:val="00FD3A67"/>
    <w:rsid w:val="00FD4CD1"/>
    <w:rsid w:val="00FD6A6E"/>
    <w:rsid w:val="00FE193F"/>
    <w:rsid w:val="00FE26EB"/>
    <w:rsid w:val="00FE3C66"/>
    <w:rsid w:val="00FE4D76"/>
    <w:rsid w:val="00FF1682"/>
    <w:rsid w:val="00FF49EE"/>
    <w:rsid w:val="00FF6402"/>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E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A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609C0"/>
    <w:pPr>
      <w:keepNext/>
      <w:numPr>
        <w:numId w:val="1"/>
      </w:numPr>
      <w:jc w:val="both"/>
      <w:outlineLvl w:val="0"/>
    </w:pPr>
    <w:rPr>
      <w:b/>
      <w:bCs/>
      <w:sz w:val="26"/>
      <w:szCs w:val="20"/>
    </w:rPr>
  </w:style>
  <w:style w:type="paragraph" w:styleId="Titre2">
    <w:name w:val="heading 2"/>
    <w:basedOn w:val="Normal"/>
    <w:next w:val="Normal"/>
    <w:link w:val="Titre2Car"/>
    <w:uiPriority w:val="9"/>
    <w:semiHidden/>
    <w:unhideWhenUsed/>
    <w:qFormat/>
    <w:rsid w:val="00AF12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11E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42DAA"/>
    <w:pPr>
      <w:jc w:val="center"/>
    </w:pPr>
    <w:rPr>
      <w:b/>
      <w:bCs/>
      <w:sz w:val="26"/>
    </w:rPr>
  </w:style>
  <w:style w:type="character" w:customStyle="1" w:styleId="CorpsdetexteCar">
    <w:name w:val="Corps de texte Car"/>
    <w:basedOn w:val="Policepardfaut"/>
    <w:link w:val="Corpsdetexte"/>
    <w:semiHidden/>
    <w:rsid w:val="00E42DAA"/>
    <w:rPr>
      <w:rFonts w:ascii="Times New Roman" w:eastAsia="Times New Roman" w:hAnsi="Times New Roman" w:cs="Times New Roman"/>
      <w:b/>
      <w:bCs/>
      <w:sz w:val="26"/>
      <w:szCs w:val="24"/>
      <w:lang w:eastAsia="fr-FR"/>
    </w:rPr>
  </w:style>
  <w:style w:type="paragraph" w:styleId="Corpsdetexte2">
    <w:name w:val="Body Text 2"/>
    <w:basedOn w:val="Normal"/>
    <w:link w:val="Corpsdetexte2Car"/>
    <w:semiHidden/>
    <w:rsid w:val="00E42DAA"/>
    <w:pPr>
      <w:jc w:val="both"/>
    </w:pPr>
    <w:rPr>
      <w:sz w:val="26"/>
    </w:rPr>
  </w:style>
  <w:style w:type="character" w:customStyle="1" w:styleId="Corpsdetexte2Car">
    <w:name w:val="Corps de texte 2 Car"/>
    <w:basedOn w:val="Policepardfaut"/>
    <w:link w:val="Corpsdetexte2"/>
    <w:semiHidden/>
    <w:rsid w:val="00E42DAA"/>
    <w:rPr>
      <w:rFonts w:ascii="Times New Roman" w:eastAsia="Times New Roman" w:hAnsi="Times New Roman" w:cs="Times New Roman"/>
      <w:sz w:val="26"/>
      <w:szCs w:val="24"/>
      <w:lang w:eastAsia="fr-FR"/>
    </w:rPr>
  </w:style>
  <w:style w:type="paragraph" w:styleId="Corpsdetexte3">
    <w:name w:val="Body Text 3"/>
    <w:basedOn w:val="Normal"/>
    <w:link w:val="Corpsdetexte3Car"/>
    <w:semiHidden/>
    <w:rsid w:val="00E42DAA"/>
    <w:pPr>
      <w:jc w:val="both"/>
    </w:pPr>
    <w:rPr>
      <w:b/>
      <w:bCs/>
      <w:sz w:val="26"/>
      <w:lang w:eastAsia="en-US"/>
    </w:rPr>
  </w:style>
  <w:style w:type="character" w:customStyle="1" w:styleId="Corpsdetexte3Car">
    <w:name w:val="Corps de texte 3 Car"/>
    <w:basedOn w:val="Policepardfaut"/>
    <w:link w:val="Corpsdetexte3"/>
    <w:semiHidden/>
    <w:rsid w:val="00E42DAA"/>
    <w:rPr>
      <w:rFonts w:ascii="Times New Roman" w:eastAsia="Times New Roman" w:hAnsi="Times New Roman" w:cs="Times New Roman"/>
      <w:b/>
      <w:bCs/>
      <w:sz w:val="26"/>
      <w:szCs w:val="24"/>
    </w:rPr>
  </w:style>
  <w:style w:type="paragraph" w:styleId="Pieddepage">
    <w:name w:val="footer"/>
    <w:basedOn w:val="Normal"/>
    <w:link w:val="PieddepageCar"/>
    <w:unhideWhenUsed/>
    <w:rsid w:val="00E42DAA"/>
    <w:pPr>
      <w:tabs>
        <w:tab w:val="center" w:pos="4536"/>
        <w:tab w:val="right" w:pos="9072"/>
      </w:tabs>
    </w:pPr>
  </w:style>
  <w:style w:type="character" w:customStyle="1" w:styleId="PieddepageCar">
    <w:name w:val="Pied de page Car"/>
    <w:basedOn w:val="Policepardfaut"/>
    <w:link w:val="Pieddepage"/>
    <w:rsid w:val="00E42DAA"/>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5CD"/>
    <w:rPr>
      <w:b/>
      <w:bCs/>
    </w:rPr>
  </w:style>
  <w:style w:type="paragraph" w:styleId="Notedebasdepage">
    <w:name w:val="footnote text"/>
    <w:basedOn w:val="Normal"/>
    <w:link w:val="NotedebasdepageCar"/>
    <w:semiHidden/>
    <w:rsid w:val="00CE2C4F"/>
    <w:rPr>
      <w:sz w:val="20"/>
      <w:szCs w:val="20"/>
    </w:rPr>
  </w:style>
  <w:style w:type="character" w:customStyle="1" w:styleId="NotedebasdepageCar">
    <w:name w:val="Note de bas de page Car"/>
    <w:basedOn w:val="Policepardfaut"/>
    <w:link w:val="Notedebasdepage"/>
    <w:semiHidden/>
    <w:rsid w:val="00CE2C4F"/>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CE2C4F"/>
    <w:rPr>
      <w:vertAlign w:val="superscript"/>
    </w:rPr>
  </w:style>
  <w:style w:type="paragraph" w:styleId="Paragraphedeliste">
    <w:name w:val="List Paragraph"/>
    <w:basedOn w:val="Normal"/>
    <w:link w:val="ParagraphedelisteCar"/>
    <w:uiPriority w:val="34"/>
    <w:qFormat/>
    <w:rsid w:val="00D26421"/>
    <w:pPr>
      <w:ind w:left="720"/>
      <w:contextualSpacing/>
    </w:pPr>
  </w:style>
  <w:style w:type="paragraph" w:styleId="En-tte">
    <w:name w:val="header"/>
    <w:basedOn w:val="Normal"/>
    <w:link w:val="En-tteCar"/>
    <w:unhideWhenUsed/>
    <w:rsid w:val="004426A5"/>
    <w:pPr>
      <w:tabs>
        <w:tab w:val="center" w:pos="4536"/>
        <w:tab w:val="right" w:pos="9072"/>
      </w:tabs>
    </w:pPr>
  </w:style>
  <w:style w:type="character" w:customStyle="1" w:styleId="En-tteCar">
    <w:name w:val="En-tête Car"/>
    <w:basedOn w:val="Policepardfaut"/>
    <w:link w:val="En-tte"/>
    <w:rsid w:val="004426A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874BE6"/>
    <w:pPr>
      <w:spacing w:after="120"/>
      <w:ind w:left="283"/>
    </w:pPr>
    <w:rPr>
      <w:sz w:val="20"/>
      <w:szCs w:val="20"/>
    </w:rPr>
  </w:style>
  <w:style w:type="character" w:customStyle="1" w:styleId="RetraitcorpsdetexteCar">
    <w:name w:val="Retrait corps de texte Car"/>
    <w:basedOn w:val="Policepardfaut"/>
    <w:link w:val="Retraitcorpsdetexte"/>
    <w:uiPriority w:val="99"/>
    <w:semiHidden/>
    <w:rsid w:val="00874BE6"/>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B609C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09C0"/>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609C0"/>
    <w:rPr>
      <w:rFonts w:ascii="Times New Roman" w:eastAsia="Times New Roman" w:hAnsi="Times New Roman" w:cs="Times New Roman"/>
      <w:b/>
      <w:bCs/>
      <w:sz w:val="26"/>
      <w:szCs w:val="20"/>
      <w:lang w:eastAsia="fr-FR"/>
    </w:rPr>
  </w:style>
  <w:style w:type="paragraph" w:styleId="Explorateurdedocuments">
    <w:name w:val="Document Map"/>
    <w:basedOn w:val="Normal"/>
    <w:link w:val="ExplorateurdedocumentsCar"/>
    <w:uiPriority w:val="99"/>
    <w:semiHidden/>
    <w:unhideWhenUsed/>
    <w:rsid w:val="00E876D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876DE"/>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E876DE"/>
    <w:rPr>
      <w:sz w:val="16"/>
      <w:szCs w:val="16"/>
    </w:rPr>
  </w:style>
  <w:style w:type="paragraph" w:styleId="Commentaire">
    <w:name w:val="annotation text"/>
    <w:basedOn w:val="Normal"/>
    <w:link w:val="CommentaireCar"/>
    <w:uiPriority w:val="99"/>
    <w:semiHidden/>
    <w:unhideWhenUsed/>
    <w:rsid w:val="00E876DE"/>
    <w:rPr>
      <w:sz w:val="20"/>
      <w:szCs w:val="20"/>
    </w:rPr>
  </w:style>
  <w:style w:type="character" w:customStyle="1" w:styleId="CommentaireCar">
    <w:name w:val="Commentaire Car"/>
    <w:basedOn w:val="Policepardfaut"/>
    <w:link w:val="Commentaire"/>
    <w:uiPriority w:val="99"/>
    <w:semiHidden/>
    <w:rsid w:val="00E876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76DE"/>
    <w:rPr>
      <w:b/>
      <w:bCs/>
    </w:rPr>
  </w:style>
  <w:style w:type="character" w:customStyle="1" w:styleId="ObjetducommentaireCar">
    <w:name w:val="Objet du commentaire Car"/>
    <w:basedOn w:val="CommentaireCar"/>
    <w:link w:val="Objetducommentaire"/>
    <w:uiPriority w:val="99"/>
    <w:semiHidden/>
    <w:rsid w:val="00E876D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876DE"/>
    <w:rPr>
      <w:rFonts w:ascii="Tahoma" w:hAnsi="Tahoma" w:cs="Tahoma"/>
      <w:sz w:val="16"/>
      <w:szCs w:val="16"/>
    </w:rPr>
  </w:style>
  <w:style w:type="character" w:customStyle="1" w:styleId="TextedebullesCar">
    <w:name w:val="Texte de bulles Car"/>
    <w:basedOn w:val="Policepardfaut"/>
    <w:link w:val="Textedebulles"/>
    <w:uiPriority w:val="99"/>
    <w:semiHidden/>
    <w:rsid w:val="00E876DE"/>
    <w:rPr>
      <w:rFonts w:ascii="Tahoma" w:eastAsia="Times New Roman" w:hAnsi="Tahoma" w:cs="Tahoma"/>
      <w:sz w:val="16"/>
      <w:szCs w:val="16"/>
      <w:lang w:eastAsia="fr-FR"/>
    </w:rPr>
  </w:style>
  <w:style w:type="paragraph" w:styleId="Rvision">
    <w:name w:val="Revision"/>
    <w:hidden/>
    <w:uiPriority w:val="99"/>
    <w:semiHidden/>
    <w:rsid w:val="008D438E"/>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A3012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rsid w:val="00553CFC"/>
    <w:rPr>
      <w:color w:val="0000FF"/>
      <w:u w:val="single"/>
    </w:rPr>
  </w:style>
  <w:style w:type="character" w:customStyle="1" w:styleId="ParagraphedelisteCar">
    <w:name w:val="Paragraphe de liste Car"/>
    <w:link w:val="Paragraphedeliste"/>
    <w:uiPriority w:val="34"/>
    <w:rsid w:val="00251182"/>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6011ED"/>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F129A"/>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semiHidden/>
    <w:unhideWhenUsed/>
    <w:rsid w:val="00C43030"/>
    <w:pPr>
      <w:spacing w:before="100" w:beforeAutospacing="1" w:after="100" w:afterAutospacing="1"/>
    </w:pPr>
  </w:style>
  <w:style w:type="table" w:styleId="Grilledutableau">
    <w:name w:val="Table Grid"/>
    <w:basedOn w:val="TableauNormal"/>
    <w:uiPriority w:val="59"/>
    <w:rsid w:val="001B6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0542">
      <w:bodyDiv w:val="1"/>
      <w:marLeft w:val="60"/>
      <w:marRight w:val="60"/>
      <w:marTop w:val="60"/>
      <w:marBottom w:val="15"/>
      <w:divBdr>
        <w:top w:val="none" w:sz="0" w:space="0" w:color="auto"/>
        <w:left w:val="none" w:sz="0" w:space="0" w:color="auto"/>
        <w:bottom w:val="none" w:sz="0" w:space="0" w:color="auto"/>
        <w:right w:val="none" w:sz="0" w:space="0" w:color="auto"/>
      </w:divBdr>
      <w:divsChild>
        <w:div w:id="132873236">
          <w:marLeft w:val="0"/>
          <w:marRight w:val="0"/>
          <w:marTop w:val="0"/>
          <w:marBottom w:val="0"/>
          <w:divBdr>
            <w:top w:val="none" w:sz="0" w:space="0" w:color="auto"/>
            <w:left w:val="none" w:sz="0" w:space="0" w:color="auto"/>
            <w:bottom w:val="none" w:sz="0" w:space="0" w:color="auto"/>
            <w:right w:val="none" w:sz="0" w:space="0" w:color="auto"/>
          </w:divBdr>
        </w:div>
        <w:div w:id="720859339">
          <w:marLeft w:val="0"/>
          <w:marRight w:val="0"/>
          <w:marTop w:val="0"/>
          <w:marBottom w:val="0"/>
          <w:divBdr>
            <w:top w:val="none" w:sz="0" w:space="0" w:color="auto"/>
            <w:left w:val="none" w:sz="0" w:space="0" w:color="auto"/>
            <w:bottom w:val="none" w:sz="0" w:space="0" w:color="auto"/>
            <w:right w:val="none" w:sz="0" w:space="0" w:color="auto"/>
          </w:divBdr>
        </w:div>
        <w:div w:id="1375152620">
          <w:marLeft w:val="0"/>
          <w:marRight w:val="0"/>
          <w:marTop w:val="0"/>
          <w:marBottom w:val="0"/>
          <w:divBdr>
            <w:top w:val="none" w:sz="0" w:space="0" w:color="auto"/>
            <w:left w:val="none" w:sz="0" w:space="0" w:color="auto"/>
            <w:bottom w:val="none" w:sz="0" w:space="0" w:color="auto"/>
            <w:right w:val="none" w:sz="0" w:space="0" w:color="auto"/>
          </w:divBdr>
        </w:div>
      </w:divsChild>
    </w:div>
    <w:div w:id="1526670575">
      <w:bodyDiv w:val="1"/>
      <w:marLeft w:val="0"/>
      <w:marRight w:val="0"/>
      <w:marTop w:val="0"/>
      <w:marBottom w:val="0"/>
      <w:divBdr>
        <w:top w:val="none" w:sz="0" w:space="0" w:color="auto"/>
        <w:left w:val="none" w:sz="0" w:space="0" w:color="auto"/>
        <w:bottom w:val="none" w:sz="0" w:space="0" w:color="auto"/>
        <w:right w:val="none" w:sz="0" w:space="0" w:color="auto"/>
      </w:divBdr>
      <w:divsChild>
        <w:div w:id="906258780">
          <w:marLeft w:val="432"/>
          <w:marRight w:val="0"/>
          <w:marTop w:val="40"/>
          <w:marBottom w:val="0"/>
          <w:divBdr>
            <w:top w:val="none" w:sz="0" w:space="0" w:color="auto"/>
            <w:left w:val="none" w:sz="0" w:space="0" w:color="auto"/>
            <w:bottom w:val="none" w:sz="0" w:space="0" w:color="auto"/>
            <w:right w:val="none" w:sz="0" w:space="0" w:color="auto"/>
          </w:divBdr>
        </w:div>
        <w:div w:id="659843543">
          <w:marLeft w:val="1008"/>
          <w:marRight w:val="0"/>
          <w:marTop w:val="40"/>
          <w:marBottom w:val="0"/>
          <w:divBdr>
            <w:top w:val="none" w:sz="0" w:space="0" w:color="auto"/>
            <w:left w:val="none" w:sz="0" w:space="0" w:color="auto"/>
            <w:bottom w:val="none" w:sz="0" w:space="0" w:color="auto"/>
            <w:right w:val="none" w:sz="0" w:space="0" w:color="auto"/>
          </w:divBdr>
        </w:div>
        <w:div w:id="18631900">
          <w:marLeft w:val="1008"/>
          <w:marRight w:val="0"/>
          <w:marTop w:val="40"/>
          <w:marBottom w:val="0"/>
          <w:divBdr>
            <w:top w:val="none" w:sz="0" w:space="0" w:color="auto"/>
            <w:left w:val="none" w:sz="0" w:space="0" w:color="auto"/>
            <w:bottom w:val="none" w:sz="0" w:space="0" w:color="auto"/>
            <w:right w:val="none" w:sz="0" w:space="0" w:color="auto"/>
          </w:divBdr>
        </w:div>
        <w:div w:id="674307350">
          <w:marLeft w:val="1008"/>
          <w:marRight w:val="0"/>
          <w:marTop w:val="40"/>
          <w:marBottom w:val="0"/>
          <w:divBdr>
            <w:top w:val="none" w:sz="0" w:space="0" w:color="auto"/>
            <w:left w:val="none" w:sz="0" w:space="0" w:color="auto"/>
            <w:bottom w:val="none" w:sz="0" w:space="0" w:color="auto"/>
            <w:right w:val="none" w:sz="0" w:space="0" w:color="auto"/>
          </w:divBdr>
        </w:div>
        <w:div w:id="1844542258">
          <w:marLeft w:val="1008"/>
          <w:marRight w:val="0"/>
          <w:marTop w:val="40"/>
          <w:marBottom w:val="0"/>
          <w:divBdr>
            <w:top w:val="none" w:sz="0" w:space="0" w:color="auto"/>
            <w:left w:val="none" w:sz="0" w:space="0" w:color="auto"/>
            <w:bottom w:val="none" w:sz="0" w:space="0" w:color="auto"/>
            <w:right w:val="none" w:sz="0" w:space="0" w:color="auto"/>
          </w:divBdr>
        </w:div>
        <w:div w:id="1824155991">
          <w:marLeft w:val="1008"/>
          <w:marRight w:val="0"/>
          <w:marTop w:val="40"/>
          <w:marBottom w:val="0"/>
          <w:divBdr>
            <w:top w:val="none" w:sz="0" w:space="0" w:color="auto"/>
            <w:left w:val="none" w:sz="0" w:space="0" w:color="auto"/>
            <w:bottom w:val="none" w:sz="0" w:space="0" w:color="auto"/>
            <w:right w:val="none" w:sz="0" w:space="0" w:color="auto"/>
          </w:divBdr>
        </w:div>
        <w:div w:id="1688167047">
          <w:marLeft w:val="432"/>
          <w:marRight w:val="0"/>
          <w:marTop w:val="40"/>
          <w:marBottom w:val="0"/>
          <w:divBdr>
            <w:top w:val="none" w:sz="0" w:space="0" w:color="auto"/>
            <w:left w:val="none" w:sz="0" w:space="0" w:color="auto"/>
            <w:bottom w:val="none" w:sz="0" w:space="0" w:color="auto"/>
            <w:right w:val="none" w:sz="0" w:space="0" w:color="auto"/>
          </w:divBdr>
        </w:div>
        <w:div w:id="1809976022">
          <w:marLeft w:val="1008"/>
          <w:marRight w:val="0"/>
          <w:marTop w:val="40"/>
          <w:marBottom w:val="0"/>
          <w:divBdr>
            <w:top w:val="none" w:sz="0" w:space="0" w:color="auto"/>
            <w:left w:val="none" w:sz="0" w:space="0" w:color="auto"/>
            <w:bottom w:val="none" w:sz="0" w:space="0" w:color="auto"/>
            <w:right w:val="none" w:sz="0" w:space="0" w:color="auto"/>
          </w:divBdr>
        </w:div>
        <w:div w:id="1293251640">
          <w:marLeft w:val="1008"/>
          <w:marRight w:val="0"/>
          <w:marTop w:val="40"/>
          <w:marBottom w:val="0"/>
          <w:divBdr>
            <w:top w:val="none" w:sz="0" w:space="0" w:color="auto"/>
            <w:left w:val="none" w:sz="0" w:space="0" w:color="auto"/>
            <w:bottom w:val="none" w:sz="0" w:space="0" w:color="auto"/>
            <w:right w:val="none" w:sz="0" w:space="0" w:color="auto"/>
          </w:divBdr>
        </w:div>
        <w:div w:id="893083737">
          <w:marLeft w:val="1008"/>
          <w:marRight w:val="0"/>
          <w:marTop w:val="40"/>
          <w:marBottom w:val="0"/>
          <w:divBdr>
            <w:top w:val="none" w:sz="0" w:space="0" w:color="auto"/>
            <w:left w:val="none" w:sz="0" w:space="0" w:color="auto"/>
            <w:bottom w:val="none" w:sz="0" w:space="0" w:color="auto"/>
            <w:right w:val="none" w:sz="0" w:space="0" w:color="auto"/>
          </w:divBdr>
        </w:div>
        <w:div w:id="1333221558">
          <w:marLeft w:val="1008"/>
          <w:marRight w:val="0"/>
          <w:marTop w:val="40"/>
          <w:marBottom w:val="0"/>
          <w:divBdr>
            <w:top w:val="none" w:sz="0" w:space="0" w:color="auto"/>
            <w:left w:val="none" w:sz="0" w:space="0" w:color="auto"/>
            <w:bottom w:val="none" w:sz="0" w:space="0" w:color="auto"/>
            <w:right w:val="none" w:sz="0" w:space="0" w:color="auto"/>
          </w:divBdr>
        </w:div>
      </w:divsChild>
    </w:div>
    <w:div w:id="2003577597">
      <w:bodyDiv w:val="1"/>
      <w:marLeft w:val="0"/>
      <w:marRight w:val="0"/>
      <w:marTop w:val="0"/>
      <w:marBottom w:val="0"/>
      <w:divBdr>
        <w:top w:val="none" w:sz="0" w:space="0" w:color="auto"/>
        <w:left w:val="none" w:sz="0" w:space="0" w:color="auto"/>
        <w:bottom w:val="none" w:sz="0" w:space="0" w:color="auto"/>
        <w:right w:val="none" w:sz="0" w:space="0" w:color="auto"/>
      </w:divBdr>
      <w:divsChild>
        <w:div w:id="106895898">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2201</Words>
  <Characters>12108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TCHOUSSI BAH</dc:creator>
  <cp:lastModifiedBy>TCHOUSSI BAH EMERY</cp:lastModifiedBy>
  <cp:revision>7</cp:revision>
  <cp:lastPrinted>2018-02-28T15:29:00Z</cp:lastPrinted>
  <dcterms:created xsi:type="dcterms:W3CDTF">2018-06-13T17:14:00Z</dcterms:created>
  <dcterms:modified xsi:type="dcterms:W3CDTF">2018-06-22T12:38:00Z</dcterms:modified>
</cp:coreProperties>
</file>